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ATAS/195/2009 vom 16. Februar 2009</w:t>
      </w:r>
    </w:p>
    <w:p>
      <w:r>
        <w:t>GE Cour de justice, 2009-02-16, FR</w:t>
      </w:r>
    </w:p>
    <w:p>
      <w:r>
        <w:rPr>
          <w:b/>
        </w:rPr>
        <w:t xml:space="preserve">Quelle: </w:t>
      </w:r>
      <w:r>
        <w:t>https://mcp.opencaselaw.ch/entscheid/ge_gerichte_ATAS_195_2009</w:t>
      </w:r>
    </w:p>
    <w:p>
      <w:r>
        <w:t>FR: GE_GERICHTE ATAS/195/2009 du 16 février 2009</w:t>
      </w:r>
    </w:p>
    <w:p>
      <w:r>
        <w:t>IT: GE_GERICHTE ATAS/195/2009 del 16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La LPGA, entrée en vigueur le 1er janvier 2003, est applicable à la présente procédure.</w:t>
      </w:r>
    </w:p>
    <w:p>
      <w:r>
        <w:t>A/3802/2008 - 5/11 -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Les faits survenus postérieurement, et qui ont modifié cette situation, doivent normalement faire l’objet d’une nouvelle décision administrative (ATF 121 V 366 consid. 1b et les références citées). b) En l’espèce, les faits déterminants dont il convient de tenir compte sont ceux qui se sont produits entre le début de l’incapacité de travail du recourant, soit le 7 novembre 2005 et le moment où la décision querellée a été rendue, soit le 23 septembre 2008. Dès lors que les faits déterminants se sont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w:t>
      </w:r>
    </w:p>
    <w:p>
      <w:r>
        <w:rPr>
          <w:b/>
        </w:rPr>
        <w:t>E. 3</w:t>
      </w:r>
    </w:p>
    <w:p>
      <w:r>
        <w:t>Interjeté dans les forme et délai prévus par la loi, le recours est recevable (art. 56 à 60 LPGA).</w:t>
      </w:r>
    </w:p>
    <w:p>
      <w:r>
        <w:rPr>
          <w:b/>
        </w:rPr>
        <w:t>E. 4</w:t>
      </w:r>
    </w:p>
    <w:p>
      <w:r>
        <w:t>Le litige porte sur le droit du recourant au versement d’une rente, singulièrement le taux de celle-ci.</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w:t>
      </w:r>
    </w:p>
    <w:p>
      <w:r>
        <w:t>A/3802/2008 - 6/11 -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d) Dans le cas présent, il est constant que le recourant souffre principalement de problèmes au niveau du talon gauche. L’ensemble des rapports médicaux sont convergents à ce sujet, de même qu’en ce qui concerne la capacité de travail résiduelle de l’intéressé eu égard à ses atteintes à la santé. Au demeurant, le recourant s’accommode des conclusions médicales figurant au dossier. Partant, il y a lieu de retenir qu’il ne dispose plus d’aucune capacité de travail dans son ancienne activité habituelle de maçon, mais qu’il est à même de travailler à plein temps dans une activité adaptée, à savoir un travail léger hors bâtiment, ne nécessitant pas de station debout prolongée, pas de marche prolongée sur terrain irrégulier ou en pente, sans frottement sur pied, ni port de charges lourdes ou encombrantes, ni port de souliers de sécurité mais avec port de chaussures adaptées. Est seule litigieuse dans ce contexte la détermination du rendement du recourant. En effet, celui-ci estime que l’intimé aurait dû tenir compte d’une baisse de rendement de 10 %, telle que préconisée par les maîtres de stage des EPI. Il met à ce propos en exergue le fait que son médecin lui a prescrit un arrêt de travail à 50 % durant la majeure partie de son stage en entreprise. L’assureur fait valoir quant à lui avoir pris en considération ladite baisse de rendement dans le cadre de l’abattement supplémentaire sur le revenu statistique après invalidité. Avec l’intimé, on doit ici considérer que la baisse de rendement relève bien plus des limitations fonctionnelles de l’intéressé (qui doit se lever et alterner les</w:t>
      </w:r>
    </w:p>
    <w:p>
      <w:r>
        <w:t>A/3802/2008 - 7/11 - positions un peu plus que la moyenne) que de l’atteinte à la santé en tant que telle. Aucun des médecins consultés n’a mis en évidence une baisse de rendement. A ce propos, l’arrêt de travail partiel invoqué par l’intéressé ne lui est d’aucun secours, vu qu’il n’est pas motivé. Certes, la Juridiction de céans n’entend pas mettre en doute les déclarations de l’assuré qui s’est montré, dès le départ, motivé et conciliant, allant parfois même au-delà de ce qu’il était physiquement à même de réaliser. Cela étant, en l’absence de conclusions motivées relatives à une baisse de rendement, il n’y a pas lieu d’en tenir compte autrement que dans le cadre, éventuellement, de l’abattement supplémentaire sur le revenu statistique d’invalide. En conséquence de ce qui précède, il sera retenu une capacité de travail entière dans l’activité adaptée telle que décrite ci-dessus.</w:t>
      </w:r>
    </w:p>
    <w:p>
      <w:r>
        <w:rPr>
          <w:b/>
        </w:rPr>
        <w:t>E. 6</w:t>
      </w:r>
    </w:p>
    <w:p>
      <w:r>
        <w:t>a) Selon l'art. 28 al. 1 LAI dans sa teneur – applicable en l’espèce – en vigueur jusqu'au 31 décembre 2007 (repris sans changement à l’art. 28 al. 2 LAI depuis le 1er janvier 2008),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dans sa teneur en vigueur jusqu’au 31 décembre 2007).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On ajoutera qu'en ce qui concerne le calcul du taux d'invalidité selon la méthode générale de comparaison des revenus, sont déterminants les rapports existant au moment de l'ouverture du droit à une éventuelle rente, ainsi que les modifications éventuelles survenues jusqu'au moment de la décision qui ont des conséquences sur le droit à la rente (ATF 129 V 222 consid. 4.1, 128 V 174). En l'espèce, la comparaison des revenus doit être effectuée compte tenu des circonstances de fait telles qu'elles se présentaient en 2006 (cf. art. 29 al. 1 let. b LAI dans sa formulation existant jusqu’au 31 décembre 2007). b) Dans la décision dont est recours, l'office intimé est parti d'un gain annuel sans invalidité de 82’368 fr. Ce salaire n'est pas contesté en tant que tel et ne paraît pas critiquable. Il sera donc retenu pour appliquer l'art. 28 al. 2 aLAI. c) Quant au revenu d’invalide, en l'absence d'un revenu effectivement réalisé, il est admis par la jurisprudence de se référer aux données salariales, telles qu'elles résultent de l'Enquête sur la structure des salaires édité par l’Office fédéral de la</w:t>
      </w:r>
    </w:p>
    <w:p>
      <w:r>
        <w:t>A/3802/2008 - 8/11 - statistique (ci-après : ESS ; cf. ATF 126 V 75 consid. 3b/aa et bb). Il convient alors de se rapporter à la valeur médiane ou valeur centrale afférente aux salaires bruts standardisés (ATF 124 V 321 consid. 3b/bb). Si l'on arrête le revenu avec invalidité à la lumière des statistiques salariales ressortant de l’ESS, il faut partir d'un gain déterminant, selon la table TA1, toutes activités confondues dans le secteur privé, de 4’732 fr. par mois (valeur standardisée) pour des travaux simples et répétitifs (niveau 4) exercés par un homme. Ce salaire mensuel hypothétique de 4’732 fr. doit être adapté à la durée hebdomadaire de travail dans les entreprises (41,7 heures par semaine en 2006 ; Annuaire statistique 2007), ce qui donne un salaire mensuel de 4’933 fr. 10, ou annuel de 59'197 fr. 30 fr. Il convient ensuite d'appliquer un facteur de réduction au gain annuel statistique de 59'197 fr. 30 fr., conformément à la jurisprudence (cf. ATF 126 V 75). Compte tenu des circonstances personnelles et professionnelles du cas particulier et en particulier du fait que l’intéressé présente une légère baisse de rendement due à ses limitations fonctionnelles (obligation d’alterner les positions), l'abattement de 20 % retenu par l’intimé apparaît approprié, si bien que le gain d'invalide se monte à 47'357 fr. 85. On notera à propos de la détermination du revenu avec invalidité que le montant de 4'732 fr. mensuel retenu comme base de calcul représente le salaire mensuel brut (valeur centrale) pour des postes de travail qui ne requièrent pas de qualifications professionnelles particulières. Or,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s’effectuent en position assise principalement et permettent l’alternance des positions, de sorte qu’elles sont adaptées au handicap du recourant (cf. rapport des EPI susmentionné). Quant à l’étendue de l'abattement (justifié dans un cas concret), il s’agit d’une question typique relevant du pouvoir d'appréciation, que la juridiction de recours ne revoit en principe qu’avec retenue, typiquement si l’administration a exercé son pouvoir d’appréciation de manière contraire au droit ou a commis un excès positif ou négatif de son pouvoir d’appréciation ou a abusé de celui-ci (cf. ATF 126 V 79 consid. 5b/aa-cc). Or, on ne saurait suivre le recourant qui réclame un abattement de 25 %. Une telle déduction constitue le maximum autorisé par la jurisprudence et serait manifestement excessive dans le cas d’espèce, notamment eu égard à l’âge de l’assuré qui ne remplit au demeurant pas nombre de critres permettant l’octroi de l’abattement maximal.</w:t>
      </w:r>
    </w:p>
    <w:p>
      <w:r>
        <w:t>A/3802/2008 - 9/11 - La comparaison des revenus aboutit donc à un degré d'invalidité arrondi (cf. ATF 130 V 121) à 43 %, soit à un taux ouvrant le droit au quart de rente (cf. art. 28 al. 1 aLAI). d) Il suit de ce qui précède que la décision de l’Office intimé, en ce qu’elle fixe le taux d’invalidité du recourant à 43 % et lui octroie un quart de rente, doit être confirmée.</w:t>
      </w:r>
    </w:p>
    <w:p>
      <w:r>
        <w:rPr>
          <w:b/>
        </w:rPr>
        <w:t>E. 7</w:t>
      </w:r>
    </w:p>
    <w:p>
      <w:r>
        <w:t>Cela étant, dans la mesure où l’administration s’est bornée à statuer sur le droit à la rente, sans examiner les mesures de réadaptation possibles, elle a méconnu le principe ancré à l’ancien art. 28 al. 2 LAI, aux termes duquel la réadaptation a la priorité sur la rente. Saisie d'une demande de rente ou appelée à se prononcer à l'occasion d'une révision de celle-ci, l'administration doit donc élucider d'office, avant toute chose, la question de la réintégration de l'assuré dans le circuit économique (ATF 108 V 212 s., 99 V 48). Ce principe est d’autant plus fort aujourd’hui que la 5ème révision de la LAI - entrée en vigueur au 1er janvier de cette année - a pour but, entre autres, le développement de la réadaptation professionnelle en vue de la baisse du nombre de rentes (cf. Message du Conseil fédéral du 22 juin 2005, FF 2005 p. 4215 ss, sp. 4216). Certes, un stage d’observation et d’orientation a bien été mis en place au sein des EPI. Il n’a toutefois été suivi d’aucune autre mesure, le collaborateur du service de la réadaptation s’étant limité à clore le dossier de façon théorique (calcul du taux d’invalidité) en suggérant un éventuel placement avec « DOP » sur demande écrite et motivée de l’assuré et ce quand bien même les maîtres de stage préconisaient l’octroi de mesures complémentaires pour achever le processus de réadaptation professionnelle. In casu, le recourant est en l’espèce non seulement en accord avec les conclusions médicales et professionnelles relatives à son propos, mais il est aussi motivé pour une reprise d’activité, d’une part. D’autre part, la mesure mentionnée, soit le « DOP », consiste (selon renseignements pris oralement auprès de l’OCAI) en une orientation professionnelle ayant pour but de déterminer deux cibles professionnelles (ou domaines d’activité) et de créer un curriculum vitae. De telles circonstances ne permettent pas d’exiger une demande écrite et motivée de l’assurée pour lui offrir les prestations de réadaptation auxquelles il peut prétendre. Le dossier aurait dû être immédiatement transmis au service du placement ou faire l’objet de mesures complémentaires décidées par le service de la réadaptation lui- même, cependant en aucun cas sous la forme d’une orientation professionnelle qui a déjà eu lieu avec succès, faut-il le rappeler. Il résulte de la présente constellation de faits que le dossier doit être retourné à l’intimé, afin qu’il mette en œuvre tout type de mesure utile en vue de la réintégration du recourant sur le circuit économique ordinaire.</w:t>
      </w:r>
    </w:p>
    <w:p>
      <w:r>
        <w:rPr>
          <w:b/>
        </w:rPr>
        <w:t>E. 8</w:t>
      </w:r>
    </w:p>
    <w:p>
      <w:r>
        <w:t>Le recourant, qui voit ses conclusions rejetées, doit en principe supporter les frais de justice. Cependant, dès lors que le dossier est tout de même renvoyé pour octroi</w:t>
      </w:r>
    </w:p>
    <w:p>
      <w:r>
        <w:t>A/3802/2008 - 10/11 - de prestations de réadaptation, lesdits frais (présentement fixés à 200 fr.) seront répartis à raison de 150 fr. à charge du recourant et 50 fr. à charge de l’intimé. Par ailleurs, ce dernier versera une indemnité (réduite) de dépens au recourant, fixée à 500 fr. L’intimé a en effet omis d’examiner l’octroi de certaines prestations, motif pour lequel la cause lui est retournée.</w:t>
      </w:r>
    </w:p>
    <w:p>
      <w:r>
        <w:t>A/3802/2008 - 11/11 -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