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ATAS/194/2025 vom 25. März 2025</w:t>
      </w:r>
    </w:p>
    <w:p>
      <w:r>
        <w:t>GE Cour de justice, 2025-03-25, FR</w:t>
      </w:r>
    </w:p>
    <w:p>
      <w:r>
        <w:rPr>
          <w:b/>
        </w:rPr>
        <w:t xml:space="preserve">Quelle: </w:t>
      </w:r>
      <w:r>
        <w:t>https://mcp.opencaselaw.ch/entscheid/ge_gerichte_ATAS_194_2025</w:t>
      </w:r>
    </w:p>
    <w:p>
      <w:r>
        <w:t>FR: GE_GERICHTE ATAS/194/2025 du 25 mars 2025</w:t>
      </w:r>
    </w:p>
    <w:p>
      <w:r>
        <w:t>IT: GE_GERICHTE ATAS/194/2025 del 25 marzo 2025</w:t>
      </w:r>
    </w:p>
    <w:p>
      <w:pPr>
        <w:pStyle w:val="Heading2"/>
      </w:pPr>
      <w:r>
        <w:t>Erwägungen</w:t>
      </w:r>
    </w:p>
    <w:p>
      <w:r>
        <w:rPr>
          <w:b/>
        </w:rPr>
        <w:t>E. 1</w:t>
      </w:r>
    </w:p>
    <w:p>
      <w:r>
        <w:t>Prend acte du retrait de la demande.</w:t>
      </w:r>
    </w:p>
    <w:p>
      <w:r>
        <w:rPr>
          <w:b/>
        </w:rPr>
        <w:t>E. 2</w:t>
      </w:r>
    </w:p>
    <w:p>
      <w:r>
        <w:t>Raye la cause du rôle.</w:t>
      </w:r>
    </w:p>
    <w:p>
      <w:r>
        <w:rPr>
          <w:b/>
        </w:rPr>
        <w:t>E. 3</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Julia BARRY</w:t>
      </w:r>
    </w:p>
    <w:p>
      <w:r>
        <w:t>La présidente</w:t>
      </w:r>
    </w:p>
    <w:p>
      <w:r>
        <w:t>Catherine TAPPONNIER</w:t>
      </w:r>
    </w:p>
    <w:p>
      <w:r>
        <w:t>Une copie conforme du présent arrêt est notifiée aux parties ainsi qu’à l’autorité fédérale de surveillance des marchés financiers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