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ATAS/194/2014 vom 13. Februar 2014</w:t>
      </w:r>
    </w:p>
    <w:p>
      <w:r>
        <w:t>GE Cour de justice, 2014-02-13, FR</w:t>
      </w:r>
    </w:p>
    <w:p>
      <w:r>
        <w:rPr>
          <w:b/>
        </w:rPr>
        <w:t xml:space="preserve">Quelle: </w:t>
      </w:r>
      <w:r>
        <w:t>https://mcp.opencaselaw.ch/entscheid/ge_gerichte_ATAS_194_2014</w:t>
      </w:r>
    </w:p>
    <w:p>
      <w:r>
        <w:t>FR: GE_GERICHTE ATAS/194/2014 du 13 février 2014</w:t>
      </w:r>
    </w:p>
    <w:p>
      <w:r>
        <w:t>IT: GE_GERICHTE ATAS/194/2014 del 13 febbraio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6 novembre 2012 est postérieure à l'entrée en vigueur des modifications de la LAI susmentionnées.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(ATFA non publié I 249/05 du 11 juillet 2006, consid. 2.1 ; Message concernant la modification de la loi fédérale sur l'assurance-invalidité du 22 juin 2005, FF 2005 p. 4322).</w:t>
      </w:r>
    </w:p>
    <w:p>
      <w:r>
        <w:t>A/3668/2012 - 9/15 -</w:t>
      </w:r>
    </w:p>
    <w:p>
      <w:r>
        <w:rPr>
          <w:b/>
        </w:rPr>
        <w:t>E. 3</w:t>
      </w:r>
    </w:p>
    <w:p>
      <w:r>
        <w:t>Interjeté dans les formes et délai prescrits par la loi, le recours est recevable (art. 56 à 61 LPGA).</w:t>
      </w:r>
    </w:p>
    <w:p>
      <w:r>
        <w:rPr>
          <w:b/>
        </w:rPr>
        <w:t>E. 4</w:t>
      </w:r>
    </w:p>
    <w:p>
      <w:r>
        <w:t>Le litige porte sur la question de savoir si c'est à juste titre que l'intimé a limité le droit de la recourante à une rente au 30 septembre 2011, étant précisé que la recourante ne conteste pas les conclusions de l’intimé d’un point de vue somatique.</w:t>
      </w:r>
    </w:p>
    <w:p>
      <w:r>
        <w:rPr>
          <w:b/>
        </w:rPr>
        <w:t>E. 5</w:t>
      </w:r>
    </w:p>
    <w:p>
      <w:r>
        <w:t>D’après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ATFA non publié I 520/05 du 28 décembre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w:t>
      </w:r>
    </w:p>
    <w:p>
      <w:r>
        <w:rPr>
          <w:b/>
        </w:rPr>
        <w:t>E. 6</w:t>
      </w:r>
    </w:p>
    <w:p>
      <w:r>
        <w:t>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w:t>
      </w:r>
    </w:p>
    <w:p>
      <w:r>
        <w:rPr>
          <w:b/>
        </w:rPr>
        <w:t>E. 7</w:t>
      </w:r>
    </w:p>
    <w:p>
      <w:r>
        <w:t>D'après une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ATF non publié 9C_395/2007 du 15 avril 2008, consid. 2.2).</w:t>
      </w:r>
    </w:p>
    <w:p>
      <w:r>
        <w:t>A/3668/2012 - 10/15 -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 non publié 9C_72/2012 du 21 août 2012, consid. 3 ; ATF non publié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w:t>
      </w:r>
    </w:p>
    <w:p>
      <w:r>
        <w:t>A/3668/2012 - 11/15 - pas lieu de distinguer entre les différentes atteintes à la santé (ATF non publié 9C_395/2007 du 15 avril 2008, consid. 2.4).</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w:t>
      </w:r>
    </w:p>
    <w:p>
      <w:r>
        <w:t>A/3668/2012 - 12/15 - ATF non publié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(ATFA non publié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11</w:t>
      </w:r>
    </w:p>
    <w:p>
      <w:r>
        <w:t>a) En l’espèce, la décision litigieuse du 6 novembre 2012, est basée sur l’appréciation du SMR, sur le rapport du Dr O__________ du 2 mai 2011 et sur celui du Dr Q__________ du 9 mars 2012. L’intimé a considéré que les atteintes somatiques de la recourante n’avaient plus eu de répercussion sur sa capacité de</w:t>
      </w:r>
    </w:p>
    <w:p>
      <w:r>
        <w:t>A/3668/2012 - 13/15 - travail au-delà du 1er juillet 2011 et que les troubles psychiatriques ne relevaient pas de l’assurance-invalidité. La recourante soutient quant à elle que sa capacité de travail est nulle en raison de ses troubles psychiques. b) Il convient dès lors de déterminer si la polytoxicomanie dont souffre la recourante est la conséquence d’une atteinte à la santé physique ou mentale ayant valeur de maladie ou si elle a provoqué une atteinte à la santé invalidante. Pour trancher ce point, il convient de se baser sur les avis médicaux et, par voie de conséquence, d'évaluer en tout premier lieu s'il faut suivre ou non les conclusions de l'examinateur psychiatre. c) Dans son rapport du 9 mars 2012, le Dr Q__________ a relevé que l’état de la recourante ne lui permettait pas d’effectuer un examen clinique dans les règles de l’art, compte tenu du fait qu’elle était sous influence de produits toxiques au moment de l’examen. Il a de ce fait conclu que les questions relatives à la capacité de travail ne pouvaient être résolues. Il est dès lors pour le moins surprenant que l’intimé ait fondé sa décision sur un tel document. De plus, la Cour de céans observe que le Dr Q__________ ne liste pas les pièces qui lui ont été remises en vue de son examen, de sorte qu’il est impossible de savoir si son rapport est établi en pleine connaissance du dossier médical de la recourante. Par ailleurs, son examen n’est pas établi sur la base d’observations approfondies et d’investigations complètes et n’a pas valeur d’expertise. A titre d’exemple, l’examinateur n’a réalisé ni tests psychométriques ni tests d'hétéro- et auto- évaluation. Il n’a pas justifié les raisons pour lesquelles il écartait certains diagnostics posés avant lui par d'autres médecins, tel que celui d’état anxio- dépressif chez une personnalité borderline (cf. rapport du 15 mars 1988 de la Clinique LA METAIRIE), ceux de syndrome de dépendance à l’alcool, d’utilisation d’opiacés, de dépendance aux sédatifs hypnotiques, d’épisode dépressif moyen, de personnalité dépendante et de personnalité de type borderline (cf. rapport du 1er février 2000 de la Clinique LA METAIRIE), ou encore celui de dépendance au cannabis (cf. rapport du 13 avril 2000 de la Clinique LA METAIRIE). L’examinateur a diagnostiqué des troubles mentaux et des troubles du comportement dus à la consommation de substances psychoactives multiples, sans livrer une appréciation globale incluant les causes et les conséquences de ladite consommation. Il ne s’est pas non plus prononcé sur les troubles anxieux, alimentaires et du sommeil constatés en 2000, ni sur un éventuel retrait social, une anhédonie et une idéation suicidaire. Quant à ses explications, selon lesquelles l’anamnèse professionnelle de la recourante ne permettrait pas de constater une répercussion sur la capacité de travail des traits de la personnalité, elles n'emportent pas la conviction.</w:t>
      </w:r>
    </w:p>
    <w:p>
      <w:r>
        <w:t>A/3668/2012 - 14/15 - Force est donc de constater que ce rapport médical ne peut se voir reconnaître valeur probante et que l’intimé ne pouvait pas se fonder sur cet examen pour rendre une décision. Il importait de procéder à des mesures d’instructions supplémentaires, lesquelles sont indispensables pour être en mesure de se prononcer sur l'existence de troubles psychiques, notamment sur l'existence d'une atteinte psychiatrique à l'origine ou plutôt consécutive de la dépendance, ainsi que sur la capacité de travail de la recourante, au regard de ses troubles psychiques. Concernant l’appréciation du Dr L__________, la Cour de céans rappellera que ce médecin-traitant n’est pas psychiatre et que ses rapports n’émanent donc pas d’un spécialiste. En pareilles circonstances, vu l'absence totale de renseignements probants récoltés par l'intimé, la Cour de céans ne peut se prononcer sur la capacité de travail de la recourante d’un point de vue psychique, et partant, sur un éventuel droit à une rente d’invalidité au-delà du 1er octobre 2011. Il convient dès lors de renvoyer la cause à l'intimé afin qu'il ordonne un complément d'instruction sous la forme d'une expertise médicale indépendante auprès d'un spécialiste en psychiatrie et en toxicomanie, tel que le Dr S__________, par exemple, après avoir interrogé le médecin-traitant de la recourante et récolté les informations nécessaires auprès des différents établissements où celle-ci a séjourné en raison de ses dépendances et troubles psychiques. Le renvoi à l'intimé se justifie d'autant plus qu'aucune expertise n'a été réalisée par ce dernier. Une fois ces mesures d'instruction effectuées, il appartiendra à l'intimé de rendre une nouvelle décision.</w:t>
      </w:r>
    </w:p>
    <w:p>
      <w:r>
        <w:rPr>
          <w:b/>
        </w:rPr>
        <w:t>E. 12</w:t>
      </w:r>
    </w:p>
    <w:p>
      <w:r>
        <w:t>Vu ce qui précède, le recours est partiellement admis et la cause renvoyée à l'autorité administrative à charge pour cette dernière de rendre une nouvelle décision concernant la période postérieure au 30 septembre 2011 après instruction complémentaire conformément aux considérants. La recourante, qui est représentée et qui obtient partiellement gain de cause, a droit à une indemnité de 2'000 fr. à titre de participation à ses frais et dépens (art. 61 let. g LPGA). Etant donné que, depuis le 1er juillet 2006, la procédure n'est plus gratuite (art. 69 al. 1bis LAI), au vu du sort du recours, il y a lieu de condamner l'intimé au paiement d'un émolument de 500 fr.</w:t>
      </w:r>
    </w:p>
    <w:p>
      <w:r>
        <w:t>A/3668/2012 - 15/15 -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