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ATAS/193/2026 vom 11. März 2026</w:t>
      </w:r>
    </w:p>
    <w:p>
      <w:r>
        <w:t>GE Cour de justice, 2026-03-11, FR</w:t>
      </w:r>
    </w:p>
    <w:p>
      <w:r>
        <w:rPr>
          <w:b/>
        </w:rPr>
        <w:t xml:space="preserve">Quelle: </w:t>
      </w:r>
      <w:r>
        <w:t>https://mcp.opencaselaw.ch/entscheid/ge_gerichte_ATAS_193_2026</w:t>
      </w:r>
    </w:p>
    <w:p>
      <w:r>
        <w:t>FR: GE_GERICHTE ATAS/193/2026 du 11 mars 2026</w:t>
      </w:r>
    </w:p>
    <w:p>
      <w:r>
        <w:t>IT: GE_GERICHTE ATAS/193/2026 del 11 marzo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w:t>
      </w:r>
    </w:p>
    <w:p>
      <w:r>
        <w:t>A/2933/2025 - 7/12 -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le bien-fondé de la restitution de CHF 2'660.- pour la période du 1er janvier 2020 au 31 décembre 2024, et en particulier du gain hypothétique partiel retenu pour l’épouse du bénéficiaire du 1er janvier au 29 février 2020. La question de la prise en compte d’un gain hypothétique dès janvier 2025 n’entre pas dans l’objet du litige, car l’intimé n’a pas pris en compte l’année 2025 pour établir le montant à restituer dans la décision querellée. Cette question a fait l’objet d’une autre procédure et a été tranchée par la chambre céans dans son arrêt du 11 février 2026.</w:t>
      </w:r>
    </w:p>
    <w:p>
      <w:r>
        <w:rPr>
          <w:b/>
        </w:rPr>
        <w:t>E. 3.1</w:t>
      </w:r>
    </w:p>
    <w:p>
      <w:r>
        <w:t>La modification du 22 mars 2019 de la LPC est entrée en vigueur le 1er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En l’occurrence, l’ancien droit est plus favorable aux nouveaux calculs effectués depuis le 1er janvier 2020, de sorte que les dispositions applicables seront citées dans leur ancienne teneur.</w:t>
      </w:r>
    </w:p>
    <w:p>
      <w:r>
        <w:rPr>
          <w:b/>
        </w:rPr>
        <w:t>E. 3.2</w:t>
      </w:r>
    </w:p>
    <w:p>
      <w:r>
        <w:t>S'agissant des prestations complémentaires fédérales, selon l'art. 25 al. 1 phr. 1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w:t>
      </w:r>
    </w:p>
    <w:p>
      <w:r>
        <w:t>A/2933/2025 - 8/12 - formelle mais que leur versement a acquis force de chose décidée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 ou de révision d'un jugement cantonal (art. 61 let. i LPGA). La révision suppose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4° ces faits ont été découverts après coup (« nachträglich »), soit postérieurement au jugement, ou, plus précisément, après l'ultime moment auquel ils pouvaient encore être utilement invoqués dans la procédure principale ; 5° le requérant n'a pas pu, malgré toute sa diligence, invoquer ces faits dans la procédure précédente (ATF 143 III 272 consid. 2.2 ; arrêt du Tribunal fédéral 8C_25/2025 du 8 juillet 2025 consid. 3.2 et la référence).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Lorsque la décision de restitution des prestations indûment touchées se fonde sur l’existence d’un motif de révision procédurale de la décision entrée en force, il y a</w:t>
      </w:r>
    </w:p>
    <w:p>
      <w:r>
        <w:t>A/2933/2025 - 9/12 -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(cf. ATF 143 V 105 consid. 2.1 et 2.5.2 ; arrêts du Tribunal fédéral 8C_742/2021 du 4 mars 2022 consid. 5.4.3 non publié in ATF 148 V 327 ; 8C_665/2020 du 8 juin 2021 consid. 5.2). Au plan cantonal, l'art. 24 al. 1 1re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w:t>
      </w:r>
    </w:p>
    <w:p>
      <w:r>
        <w:rPr>
          <w:b/>
        </w:rPr>
        <w:t>E. 3.3</w:t>
      </w:r>
    </w:p>
    <w:p>
      <w:r>
        <w:t>En vertu de l'art. 25 al. 2 phr. 1 LPGA (dans sa teneur en vigueur à compter du 1er janvier 2021), le droit de demander la restitution s'éteint trois ans après le moment où l'institution d’assurance a eu connaissance du fait, mais au plus tard cinq ans après le versement de la prestation. Jusqu’au 31 décembre 2020, l’art. 25 al. 2 1re phrase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 Étant donné que, d'un point de vue temporel, les règles de droit déterminantes sont en principe celles qui s'appliquent lors de l'accomplissement des faits entraînant des conséquences juridiques et que, par ailleurs, le juge se base, en principe, sur les faits survenus jusqu'au moment où la décision litigieuse a été rendue (arrêt du Tribunal fédéral 9C_193/2021 du 31 mars 2022 consid. 2.2 et les références), c’est l’art. 25 al. 2 1re phrase LPGA dans sa teneur en vigueur jusqu’au 30 décembre 2020 / à compter du 1er janvier 2021 qui est applicable dans le cas présent.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w:t>
      </w:r>
    </w:p>
    <w:p>
      <w:r>
        <w:t>A/2933/2025 - 10/12 -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 L’art. 25 al. 2 LPGA est applicable par analogie aux prestations complémentaires cantonales (arrêt du Tribunal fédéral 8C_579/2024 du 7 juillet 2025 consid. 4.1).</w:t>
      </w:r>
    </w:p>
    <w:p>
      <w:r>
        <w:rPr>
          <w:b/>
        </w:rPr>
        <w:t>E. 4.1</w:t>
      </w:r>
    </w:p>
    <w:p>
      <w:r>
        <w:t>En l’espèce, l’intimé a procédé à une révision du droit aux prestations du recourant pour la période du 1er janvier 2020 à fin décembre 2024 pour tenir compte des gains d’activité annuels de son épouse sur la base des informations reçues par le recourant en 2024 et 2025. Il a en particulier reçu le 22 mars 2024, l’information selon laquelle le temps de travail de son épouse avait augmenté de 12 heures 30 par semaine à 30 heures par semaine, à partir du 1er mars 2024, ce qui ressortait d’un avenant au contrat de celle-ci, ainsi que du décompte de salaire au 29 février 2024, selon lequel elle avait touché un salaire net de CHF 1'821.90 durant ce mois. Le SPC a rendu le</w:t>
      </w:r>
    </w:p>
    <w:p>
      <w:r>
        <w:rPr>
          <w:b/>
        </w:rPr>
        <w:t>E. 4.2</w:t>
      </w:r>
    </w:p>
    <w:p>
      <w:r>
        <w:t>S’agissant des années 2022 et 2023, la demande de restitution a été faite dans les délais relatifs et absolus de péremption prévus par l’art. 25 al. 2 LPGA, puisque l’intimé a reçu les attestations de salaire pour ces années le 26 novembre 2024 et qu’il a rendu sa décision recalculant le droit aux prestations du recourant le 29 novembre 2024. 5. Au vu de ce qui précède, il n’est pas nécessaire de déterminer si c’est à raison que l’intimé a pris en compte un gain potentiel pour l’épouse du recourant en janvier et février 2020, puisque cette période ne doit pas être prise en compte dans le montant à restituer. 6. Le recours est ainsi partiellement fondé. La décision du 9 juillet 2025 doit en conséquence être annulée et la cause renvoyée à l’intimé pour nouveau calcul du montant à restituer, sans tenir compte des années 2020, 2021 et 2024 (sauf pour le mois de janvier 2024). Le recourant obtenant gain de cause et étant assisté d’un conseil, il a droit à des dépens qui seront fixés à CHF 2'000.- et mis à la charge de l’intimée (art. 61 let. g LPGA). La procédure est gratuite.</w:t>
      </w:r>
    </w:p>
    <w:p>
      <w:r>
        <w:t>A/2933/2025 - 12/12 - PAR CES MOTIFS, LA CHAMBRE DES ASSURANCES SOCIALES : Statuant À la forme :</w:t>
      </w:r>
    </w:p>
    <w:p>
      <w:r>
        <w:rPr>
          <w:b/>
        </w:rPr>
        <w:t>E. 8</w:t>
      </w:r>
    </w:p>
    <w:p>
      <w:r>
        <w:t>novembre 2024, une décision recalculant le droit aux prestations complémentaires du bénéficiaire pour la période du 1er février au 29 février 2024 et du 1er mars au 30 novembre 2024 sur la base des informations reçues le 22 mars 2024, qui n’appelaient pas d’instruction complémentaire, plus de 90 jours après la réception du fait nouveau. Il en résulte qu’il n’a pas respecté le délai de révision et que la décision de restitution fondée sur les informations reçues le 22 mars 2024 pour les prestations versées entre février et novembre 2024 est infondée. Le 26 novembre 2024, l’intimé a reçu les attestations de salaire de l’épouse du recourant de 2020 à 2023. Sur cette base, il a, par décision du 29 novembre 2024, demandé la restitution de CHF 24'314.-, en recalculant le droit aux prestations du recourant du 1er janvier 2022 au 30 novembre 2024, selon l’ancien droit. Il a ainsi agi en temps utile uniquement pour demander la restitution des prestations versées du 1er janvier 2022 au 31 décembre 2023 et janvier 2024, mais tardivement s’agissant de la période du 1er février au 30 novembre 2024, étant relevé que pour cette période, il a juste repris les montants du salaire de l’intéressée déjà pris en compte (tardivement) dans sa décision sur 8 novembre 2024. Il faut également relever que l’intimé a mentionné par erreur, dans sa décision du 29 novembre 2024, la somme de CHF 13'323 comme revenu de l’activité lucrative de l’épouse du bénéficiaire en 2022, car ce montant ressortait de l’attestation relative à l’année 2021. Il aurait dû mentionner le revenu de CHF 12'886.- qui ressortait de l’attestation de salaire pour l’année 2022. Ce n’est que dans sa décision du 16 juin 2025, que l’intimé a recalculé les prestations dues au recourant en 2020 et 2021, soit bien après le délai de 90 jours</w:t>
      </w:r>
    </w:p>
    <w:p>
      <w:r>
        <w:t>A/2933/2025 - 11/12 - après avoir reçu, le 26 novembre 2024, les attestations de salaire pour ces années. Il en résulte qu’il n’a pas respecté le délai de révision et que la décision de restitution fondée sur les informations reçues le 26 novembre 2024 pour les prestations versées en 2020 et 2021 est infondée. Dans la décision du 16 juin 2025, l’intimé a également procédé à une révision des montants pris en compte pour le salaire de l’épouse du recourant sur la base du certificat de salaire 2024, qu’il avait reçu le 12 mars 2025. Dans la mesure où la décision du 16 juin 2025 a été rendue plus de 90 jours après la réception du certificat de salaire 2024, la décision de restitution fondées sur les informations reçues le 12 mars 2025 pour les prestations versées en 2024 est infondée.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