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ATAS/193/2019 vom 4. März 2019</w:t>
      </w:r>
    </w:p>
    <w:p>
      <w:r>
        <w:t>GE Cour de justice, 2019-03-04, FR</w:t>
      </w:r>
    </w:p>
    <w:p>
      <w:r>
        <w:rPr>
          <w:b/>
        </w:rPr>
        <w:t xml:space="preserve">Quelle: </w:t>
      </w:r>
      <w:r>
        <w:t>https://mcp.opencaselaw.ch/entscheid/ge_gerichte_ATAS_193_2019</w:t>
      </w:r>
    </w:p>
    <w:p>
      <w:r>
        <w:t>FR: GE_GERICHTE ATAS/193/2019 du 4 mars 2019</w:t>
      </w:r>
    </w:p>
    <w:p>
      <w:r>
        <w:t>IT: GE_GERICHTE ATAS/193/2019 del 4 marzo 2019</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Est litigieuse la question de savoir si la recourante peut bénéficier d’une remise de l’obligation de restituer la somme de CHF 66'486.-, singulièrement si elle remplit la condition de la bonne foi.</w:t>
      </w:r>
    </w:p>
    <w:p>
      <w:r>
        <w:rPr>
          <w:b/>
        </w:rPr>
        <w:t>E. 4</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t>A/3012/2018 - 5/9 -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La bonne foi a été admise dans le cas d’un assuré incapable de discernement qui n’annonce pas à l’Office de l’assurance-invalidité qu’il a pris un travail à mi-temps et de son tuteur qui l’ignore parce qu’il ne l’a pas interrogé sur ce point, dès lors qu’il n’a commis qu’une négligence légère (ATF 112 V 97). c.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w:t>
      </w:r>
    </w:p>
    <w:p>
      <w:r>
        <w:t>A/3012/2018 - 6/9 - mise en œuvre des assurances sociales a l'obligation d'informer l'assureur si elle apprend que les circonstances déterminantes pour l'octroi de prestations se sont modifiées (al. 2).</w:t>
      </w:r>
    </w:p>
    <w:p>
      <w:r>
        <w:rPr>
          <w:b/>
        </w:rPr>
        <w:t>E. 6</w:t>
      </w:r>
    </w:p>
    <w:p>
      <w:r>
        <w:t>a. Est capable de discernement au sens du droit civil toute personne qui n'est pas privée de la faculté d'agir raisonnablement en raison de son jeune âge, de déficience mentale, de troubles psychiques, d'ivresse ou d'autres causes semblables (art. 16 du Code civil suisse du 10 décembre 1907 [CC - RS 210], dans sa teneur en vigueur depuis le 1er janvier 2013).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ibidem; ATF 118 Ia 236 consid. 2b in fine). Il faut deuxièmement que la faculté d'agir raisonnablement soit altérée par l'une des cinq causes énumérées par l'art. 16 CC que sont le jeune âge, la déficience mentale, les troubles psychiques, l'ivresse ou d'autres causes semblables à l'ivresse (arrêt du Tribunal fédéral 4A 421/2016 du 13 décembre 2016 consid. 5.2). b. La capacité de discernement des adultes majeurs est présumée d'après l'expérience générale de la vie (art. 16 CC) et il appartient à celui qui prétend qu'elle fait défaut de le prouver (art. 8 CC).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Cette présomption de fait concerne les personnes, qui, au moment de l'acte, se trouvent dans un état durable d'altération mentale liée à l'âge ou à la maladie (cf. ATF 124 III 5 consid. 4). Toute atteinte à la santé mentale ne permet pas de présumer l'incapacité de discernement. Il faut que cette atteinte crée une dégradation durable et importante des facultés de l'esprit (arrêt du Tribunal fédéral 5A_859/2014 du 17 mars 2015 consid. 4.1.2 et la référence).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5A_191/2012 du</w:t>
      </w:r>
    </w:p>
    <w:p>
      <w:r>
        <w:t>A/3012/2018 - 7/9 - 12 octobre 2012 consid. 4.1.2 et les références). Il en va de même lorsque la personne se voit administrer périodiquement des médicaments et souffre d'une désorientation spatio-temporelle momentanée (arrêt du Tribunal fédéral 5A_12/2009 du 25 mars 2009 consid. 2.3), lorsque, dans un âge avancé, elle est simplement fragile, atteinte dans sa santé physique et temporairement confuse (arrêt du Tribunal fédéral 5C.193/2004 du 17 janvier 2005 consid. 4 in RNRF 87/2006 p. 108 ss), lorsqu'elle souffre d'absences consécutives à une attaque cérébrale (arrêt du Tribunal fédéral 5C.98/2005 du 25 juillet 2005 consid. 2.3.2 in: Pra 96/2007 No 17 p. 97 ss). La présomption d'incapacité liée à un état général d'altération mentale peut néanmoins être renversée en établissant que la personne intéressée a accompli l'acte en question dans un moment de lucidité (ATF 124 III 5 consid. 1b et les références); elle peut également l'être en démontrant que, dans le cas concret, à savoir en fonction de la nature et de l'importance de l'acte déterminé, la personne était en mesure d'agir raisonnablement (caractère relatif de la capacité de discernement; ATF 134 II 235 consid. 4.3.2; arrêt du Tribunal fédéral 5A_951/2016 du 14 septembre 2017 consid. 3.1.3.1 ; ATAS/143/2018 du 20 février 2018). c. Le juge du fait constate souverainement l'état dans lequel se trouvait une personne au moment où elle a accompli l'acte litigieux, ainsi que la nature et les effets d'éventuels dérangements (cf. ATF 117 II 231 consid. 2c; 91 II 327 consid. 8; 90 II 9 consid. 3).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rPr>
          <w:b/>
        </w:rPr>
        <w:t>E. 7</w:t>
      </w:r>
    </w:p>
    <w:p>
      <w:r>
        <w:t>a. En l’occurrence, contrairement à l’avis de la recourante, son incapacité de discernement ne saurait être présumée. En effet, le certificat médical de la Dresse B______ du 31 août 2017 se borne à attester d’un diagnostic de trouble obsessionnel compulsif grave et d’un trouble dépressif récurrent, sans mention de limitations fonctionnelles psychiques. Si dans un arrêt du 20 février 2018 (ATAS/143/2018), la chambre de céans a admis que la recourante, souffrant d’un trouble obsessionnel compulsif (F. 42) était, au moment de son comportement compulsif, en l’occurrence l’achat d’objets, incapable de discernement, l’incapacité ne saurait être présumée permanente, en dehors des crises compulsives. En l’occurrence, la recourante a été dûment informée, à maintes reprises, depuis l’octroi de prestations en 1991, de son obligation de communiquer tout changement intervenant dans sa situation économique. Or, elle a omis, à tout le moins depuis l’année 2009, de déclarer trois comptes bancaires, l’un auprès du Crédit Suisse et</w:t>
      </w:r>
    </w:p>
    <w:p>
      <w:r>
        <w:t>A/3012/2018 - 8/9 - deux autres auprès de la Société générale, agence Saint-Julien-en-Genevois. Cette négligence, qu’il convient de qualifier de grave, exclut sa bonne foi. b. Par ailleurs, même si l’on devait admettre que c’est uniquement le père de la recourante qui a géré les affaires administratives de celle-ci et collaboré avec l’intimé, force est de constater, qu’en tant que représentant (art. 7 et 9 al. 1 LPA), voire d’auxiliaire de la recourante, son comportement serait imputable à celle-ci. En particulier, le comportement d’un auxiliaire, soit celui qui est soumis à l’autorité de l’intéressé ou de toute personne qui, même sans être dans une relation juridique permanente avec l’intéressé, lui prête son concours, est imputable à celui-ci. Dans le cadre du versement d’une avance de frais, la mère d’un recourant a ainsi été reconnue en tant qu’auxiliaire et sa faute imputable à celui-ci (Arrêt du Tribunal fédéral 2C 734/2012 du 25 mars 2013). Or, en l’espèce, le père de la recourante ne saurait être reconnu de bonne foi dès lors qu’il s’occupait, selon la recourante, d’informer notamment l’intimé de tous les changements intervenus dans la situation financière de sa fille (réplique p. 3) et que c’était lui-même qui approvisionnait les comptes non déclarés de sa fille (demande de remise de la recourante au SPC du 25 septembre 2017 p. 4), de sorte qu’il connaissait ceux-ci et qu’il se devait de les signaler à l’intimé. Qu’il soit représentant ou auxiliaire de la recourante, le père de celle-ci a commis une omission, fautive, qui est imputable à la recourante et exclut sa bonne foi.</w:t>
      </w:r>
    </w:p>
    <w:p>
      <w:r>
        <w:rPr>
          <w:b/>
        </w:rPr>
        <w:t>E. 8</w:t>
      </w:r>
    </w:p>
    <w:p>
      <w:r>
        <w:t>La condition de la bonne foi étant exclue, il n’est pas nécessaire d’examiner celle de la situation difficile, le recours devant être, pour ce motif déjà, rejeté et la décision litigieuse confirmée. Pour le surplus, la procédure est gratuite.</w:t>
      </w:r>
    </w:p>
    <w:p>
      <w:r>
        <w:t>A/3012/2018 - 9/9 -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