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ATAS/192/2021 vom 11. März 2021</w:t>
      </w:r>
    </w:p>
    <w:p>
      <w:r>
        <w:t>GE Cour de justice, 2021-03-11, FR</w:t>
      </w:r>
    </w:p>
    <w:p>
      <w:r>
        <w:rPr>
          <w:b/>
        </w:rPr>
        <w:t xml:space="preserve">Quelle: </w:t>
      </w:r>
      <w:r>
        <w:t>https://mcp.opencaselaw.ch/entscheid/ge_gerichte_ATAS_192_2021</w:t>
      </w:r>
    </w:p>
    <w:p>
      <w:r>
        <w:t>FR: GE_GERICHTE ATAS/192/2021 du 11 mars 2021</w:t>
      </w:r>
    </w:p>
    <w:p>
      <w:r>
        <w:t>IT: GE_GERICHTE ATAS/192/2021 del 11 marzo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w:t>
      </w:r>
    </w:p>
    <w:p>
      <w:r>
        <w:rPr>
          <w:b/>
        </w:rPr>
        <w:t>E. 3</w:t>
      </w:r>
    </w:p>
    <w:p>
      <w:r>
        <w:t>Le recours, interjeté dans les délai et forme prévus par la loi, est recevable.</w:t>
      </w:r>
    </w:p>
    <w:p>
      <w:r>
        <w:rPr>
          <w:b/>
        </w:rPr>
        <w:t>E. 4</w:t>
      </w:r>
    </w:p>
    <w:p>
      <w:r>
        <w:t>Le litige porte sur le bien-fondé de l’affiliation d’office de la recourante à l’assurance-obligatoire des soins.</w:t>
      </w:r>
    </w:p>
    <w:p>
      <w:r>
        <w:rPr>
          <w:b/>
        </w:rPr>
        <w:t>E. 5</w:t>
      </w:r>
    </w:p>
    <w:p>
      <w:r>
        <w:t>En l’espèce, l’intimé a proposé l’admission du recours après instruction complémentaire et au vu de l’arrêt rendu par la Cour de céans dans la cause opposant l’intéressée à l’Institution commune LAMal. Il convient donc de rendre un arrêt en ce sens. Le recours est admis et la décision sur opposition du 23 mai 2019 annulée, tout comme l’affiliation d’office de la recourante à la caisse-maladie SUPRA, ce dont cette dernière sera informée par la communication du présent arrêt. La procédure est gratuite (art. 89H al. 1 LPA-GE).</w:t>
      </w:r>
    </w:p>
    <w:p>
      <w:r>
        <w:t>A/2533/2019 - 4/4 - PAR CES MOTIFS, LA CHAMBRE DES ASSURANCES SOCIALES :</w:t>
      </w:r>
    </w:p>
    <w:p>
      <w:r>
        <w:t>Statuant d’accord entre les parties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