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ATAS/192/2017 vom 9. März 2017</w:t>
      </w:r>
    </w:p>
    <w:p>
      <w:r>
        <w:t>GE Cour de justice, 2017-03-09, FR</w:t>
      </w:r>
    </w:p>
    <w:p>
      <w:r>
        <w:rPr>
          <w:b/>
        </w:rPr>
        <w:t xml:space="preserve">Quelle: </w:t>
      </w:r>
      <w:r>
        <w:t>https://mcp.opencaselaw.ch/entscheid/ge_gerichte_ATAS_192_2017</w:t>
      </w:r>
    </w:p>
    <w:p>
      <w:r>
        <w:t>FR: GE_GERICHTE ATAS/192/2017 du 9 mars 2017</w:t>
      </w:r>
    </w:p>
    <w:p>
      <w:r>
        <w:t>IT: GE_GERICHTE ATAS/192/2017 del 9 marzo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pas applicable (cf. art. 1 et 2 LPGA).</w:t>
      </w:r>
    </w:p>
    <w:p>
      <w:r>
        <w:rPr>
          <w:b/>
        </w:rPr>
        <w:t>E. 3</w:t>
      </w:r>
    </w:p>
    <w:p>
      <w:r>
        <w:t>Interjeté dans les forme et le délai prévus par la loi, le recours est recevable (cf. art. 49 al. 3 LMC et art. 89B de la loi sur la procédure administrative du 12 septembre 1985 [LPA - E 5 10]).</w:t>
      </w:r>
    </w:p>
    <w:p>
      <w:r>
        <w:rPr>
          <w:b/>
        </w:rPr>
        <w:t>E. 4</w:t>
      </w:r>
    </w:p>
    <w:p>
      <w:r>
        <w:t>Est litigieuse en l’espèce la question de savoir si le recourant est tenu de rembourser les ARE reçues durant la période de mai 2015 à janvier 2016 d’un montant de CHF 19'687.80.</w:t>
      </w:r>
    </w:p>
    <w:p>
      <w:r>
        <w:rPr>
          <w:b/>
        </w:rPr>
        <w:t>E. 5</w:t>
      </w:r>
    </w:p>
    <w:p>
      <w:r>
        <w:t>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(art. 1 let. b à d LMC). Les chômeurs ayant épuisé leur droit aux indemnités fédérales peuvent ainsi bénéficier d'une ARE, s'ils retrouvent un travail salarié auprès d'une entreprise active en Suisse (art. 30 LMC). A teneur de l’art. 32 LMC, l’octroi de la mesure est subordonné à la production, avant la prise d'emploi, d’un contrat de travail à durée indéterminée (al. 1). Si l'employeur met un terme au contrat de travail avant la fin de la durée totale de la mesure au sens de l'art. 35, il est tenu de restituer à l'Etat la participation au salaire</w:t>
      </w:r>
    </w:p>
    <w:p>
      <w:r>
        <w:t>A/23/2017 - 5/7 - reçue. Sont réservés les cas de résiliation immédiate du contrat de travail pour justes motifs au sens de l'art. 337 CO (al. 2).</w:t>
      </w:r>
    </w:p>
    <w:p>
      <w:r>
        <w:rPr>
          <w:b/>
        </w:rPr>
        <w:t>E. 6</w:t>
      </w:r>
    </w:p>
    <w:p>
      <w:r>
        <w:t>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(ATFA non publié du 25 avril 2002, P 41/9, consid. 2). Selon l'art. 337 al. 1 CO, l'employeur et le travailleur peuvent résilier immédiatement le contrat en tout temps pour de justes motifs; la partie qui résilie immédiatement le contrat doit motiver sa décision par écrit si l'autre partie le demande. Selon l'al. 2 de cette disposition, sont notamment considérés comme de justes motifs toutes les circonstances qui, selon les règles de la bonne foi, ne permettent pas d'exiger de celui qui a donné le congé la continuation des rapports de travail. Selon l'al. 3 de cette disposition, le juge apprécie librement s'il existe de justes motifs, mais en aucun cas il ne peut considérer comme tels le fait que le travailleur a été sans sa faute empêché de travailler.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ATF 123 III 86).</w:t>
      </w:r>
    </w:p>
    <w:p>
      <w:r>
        <w:rPr>
          <w:b/>
        </w:rPr>
        <w:t>E. 7</w:t>
      </w:r>
    </w:p>
    <w:p>
      <w:r>
        <w:t>Selon la jurisprudence de la chambre de céans, lorsque l’employeur ne licencie pas son employé concrètement sur la base de l’art. 337 CO, il renonce à se prévaloir d’un licenciement pour justes motifs, de sorte que des justes motifs au sens de l’art. 337 ne peuvent pas être retenus (ATAS/61/2016 du 26 janvier 2016 consid. 11 ;</w:t>
      </w:r>
    </w:p>
    <w:p>
      <w:r>
        <w:t>A/23/2017 - 6/7 - ATAS/102/2016 du 4 février 2016 consid. 7 ; ATAS/158/2016 du 1er mars 2016 consid. 13). Toutefois, la chambre de céans a également admis que la jurisprudence du Tribunal fédéral relative aux allocations d’initiation de travail régie par les art. 65 ss LACI est applicable par analogie aux ARE (ATAS/61/2016 du 26 janvier 2016 consid. 10 dernier alinéa). Or, selon la jurisprudence de notre Haute Cour concernant les allocations d’initiation de travail, il n’est pas exclu de considérer une résiliation comme étant survenue pour des justes motifs, même si cela n’est pas mentionné dans la lettre de résiliation, pour autant que les motifs invoqués par la suite font apparaître comme non exigible la continuation des rapports de travail (ATF 126 V 42 consid. 3 p. 46 s. ; arrêt du Tribunal fédéral des assurances sociales C_15/05 du 23 mars 2006 consid. 4.3; arrêt du Tribunal fédéral des assurances sociales C_14/02 du 10 juillet 2002 consid. 4). Il faut toutefois que les justes motifs invoqués après la résiliation soient en étroite corrélation avec les motifs figurant dans la lettre de licenciement (arrêt du Tribunal fédéral des assurances sociales C_14/02 op. cit. 4.2). Dans les arrêts cités, notre Haute Cour n’a cependant pas admis que les motifs invoqués constituaient de justes motifs au sens de l’art. 337 CO.</w:t>
      </w:r>
    </w:p>
    <w:p>
      <w:r>
        <w:rPr>
          <w:b/>
        </w:rPr>
        <w:t>E. 8</w:t>
      </w:r>
    </w:p>
    <w:p>
      <w:r>
        <w:t>Aux termes de l'art. 48B al. 1 LMC, en cas de violation de la loi, de son règlement d’exécution ou des obligations contractuelles mises à charge du bénéficiaire de la mesure, de l’entité utilisatrice ou de l'employeur, l’autorité compétente peut révoquer sa décision d’octroi et exiger la restitution des prestations touchées indûment. Elle peut renoncer à exiger la restitution sur demande de l’intéressé lorsque celui-ci est de bonne foi et que la restitution le mettrait dans une situation financière difficile (art. 48B al. 2 LMC).</w:t>
      </w:r>
    </w:p>
    <w:p>
      <w:r>
        <w:rPr>
          <w:b/>
        </w:rPr>
        <w:t>E. 9</w:t>
      </w:r>
    </w:p>
    <w:p>
      <w:r>
        <w:t>En l'occurrence, le recourant a licencié son employé pour des raisons économiques, selon les termes de sa lettre de résiliation, qui ne constituent assurément pas de justes motifs au sens de l'art. 337 CO. Les motifs invoqués par la suite pour justifier la résiliation du contrat ne sont dans aucune corrélation avec ceux indiqués dans cette lettre. Ainsi, aux termes de la jurisprudence du Tribunal fédéral, l'employeur est forclos de s'en prévaloir par la suite. Il est à relever à cet égard que le recourant n'était pas obligé de mentionner les motifs dans sa lettre de résiliation, selon l'art. 337 al. 1 CO. La résiliation doit uniquement être motivée si l'autre partie le demande. Il ne s'agit pas non plus d'une résiliation immédiate comme exigée à l'art. 32 al. 2 LMC, d'autant moins que l'employé n'a pas été libéré de l'obligation de travailler durant le délai de congé. Cela étant, l'intimé était en droit de révoquer l'octroi des ARE et d'en demander la restitution.</w:t>
      </w:r>
    </w:p>
    <w:p>
      <w:r>
        <w:t>A/23/2017 - 7/7 -</w:t>
      </w:r>
    </w:p>
    <w:p>
      <w:r>
        <w:rPr>
          <w:b/>
        </w:rPr>
        <w:t>E. 10</w:t>
      </w:r>
    </w:p>
    <w:p>
      <w:r>
        <w:t>Le recours sera ainsi rejeté.</w:t>
      </w:r>
    </w:p>
    <w:p>
      <w:r>
        <w:rPr>
          <w:b/>
        </w:rPr>
        <w:t>E. 11</w:t>
      </w:r>
    </w:p>
    <w:p>
      <w:r>
        <w:t>La procédure est gratuite.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