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ATAS/191/2024 vom 26. März 2024</w:t>
      </w:r>
    </w:p>
    <w:p>
      <w:r>
        <w:t>GE Cour de justice, 2024-03-26, FR</w:t>
      </w:r>
    </w:p>
    <w:p>
      <w:r>
        <w:rPr>
          <w:b/>
        </w:rPr>
        <w:t xml:space="preserve">Quelle: </w:t>
      </w:r>
      <w:r>
        <w:t>https://mcp.opencaselaw.ch/entscheid/ge_gerichte_ATAS_191_2024</w:t>
      </w:r>
    </w:p>
    <w:p>
      <w:r>
        <w:t>FR: GE_GERICHTE ATAS/191/2024 du 26 mars 2024</w:t>
      </w:r>
    </w:p>
    <w:p>
      <w:r>
        <w:t>IT: GE_GERICHTE ATAS/191/2024 del 26 marzo 2024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règlement du 17 janvier 1961 sur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w:t>
      </w:r>
    </w:p>
    <w:p>
      <w:r>
        <w:t>A/1479/2023 - 11/15 -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w:t>
      </w:r>
    </w:p>
    <w:p>
      <w:r>
        <w:t>A/1479/2023 - 12/15 - selon lequel l’administration ou le juge devrait statuer, dans le doute, en faveur de l’assuré (ATF 135 V 39 consid. 6.1 et la référence).</w:t>
      </w:r>
    </w:p>
    <w:p>
      <w:r>
        <w:rPr>
          <w:b/>
        </w:rPr>
        <w:t>E. 10</w:t>
      </w:r>
    </w:p>
    <w:p>
      <w:r>
        <w:t>kg, le travail avec les bras en élévation, ainsi que l’exposition à des vibrations.</w:t>
      </w:r>
    </w:p>
    <w:p>
      <w:r>
        <w:rPr>
          <w:b/>
        </w:rPr>
        <w:t>E. 10.1</w:t>
      </w:r>
    </w:p>
    <w:p>
      <w:r>
        <w:t>Dans ses avis des 12 mars et 27 novembre 2018, le SMR avait retenu les diagnostics de chondropathie et d’épicondylite du coude droit, de lombalgies chroniques sur une atteinte dégénérative discale de L2 à S1 avec un spondylolisthésis modéré de L4 et une arthrose inter apophysaire, de cervicalgies chroniques en rapport avec une cervicarthrose de C5 à C7, responsable d’une sténose foraminale bilatérale. Il a considéré que ces troubles n’étaient pas compatibles avec l’exercice de l’activité habituelle d’employée de maison ou de nettoyeuse, mais que l’intéressée demeurait apte à travailler à temps complet dans une activité adaptée. Les limitations fonctionnelles comprenaient la montée et la descente d’escaliers, la marche sur de longs trajets, les accroupissements, les flexions du tronc, les flexion-extension répétées de la nuque, les rotations rapides de la tête, la position prolongée en flexion ou extension de la nuque, le port de charges de plus de</w:t>
      </w:r>
    </w:p>
    <w:p>
      <w:r>
        <w:rPr>
          <w:b/>
        </w:rPr>
        <w:t>E. 10.2</w:t>
      </w:r>
    </w:p>
    <w:p>
      <w:r>
        <w:t>Suite à la nouvelle demande, le SMR a admis, dans son rapport du</w:t>
      </w:r>
    </w:p>
    <w:p>
      <w:r>
        <w:rPr>
          <w:b/>
        </w:rPr>
        <w:t>E. 10.3</w:t>
      </w:r>
    </w:p>
    <w:p>
      <w:r>
        <w:t>Après avoir repris l’instruction du dossier suite au courrier de la recourante du 7 octobre 2021 faisant état de troubles psychiques, l’intimé a reçu plusieurs rapports de la Dre E______. La psychiatre traitante a notamment indiqué suivre la</w:t>
      </w:r>
    </w:p>
    <w:p>
      <w:r>
        <w:t>A/1479/2023 - 14/15 - recourante depuis le 8 septembre 2021 et attesté d’une totale incapacité de travail depuis lors. Le SMR a fait siennes ces conclusions. L’intimé a considéré, à bon droit, que le trouble psychique dont souffre la recourante depuis le mois de septembre 2021 constitue une nouvelle atteinte à la santé totalement distincte de la précédente, et représente donc un nouveau cas d’assurance ouvrant un nouveau délai d’attente d’un an. Il a donc admis le droit à une rente entière dès le 1er septembre 2022, ce qui n’est au demeurant pas critiqué par la recourante. 11. Dans ces circonstances, la chambre de céans considère que les conclusions du SMR peuvent se voir reconnaître une pleine valeur probante. Elle tiendra donc pour établi, au degré de la vraisemblance prépondérante requis, que l’état de santé de la recourante s’est aggravé suite au prononcé de la décision du 27 novembre 2018, que l’intéressée a présenté une période d’incapacité totale de travail du 5 mai 2020 au 26 avril 2021 et qu’elle a été à nouveau apte à exercer une activité adaptée respectant les limitations fonctionnelles décrites, et ce jusqu’au 8 septembre 2021. 12. Au vu de ce qui précède, le recours sera rejeté et la recourante condamnée au paiement d'un émolument de CHF 200.- (art. 69 al. 1bis LAI).</w:t>
      </w:r>
    </w:p>
    <w:p>
      <w:r>
        <w:t>A/1479/2023 - 15/15 - PAR CES MOTIFS, LA CHAMBRE DES ASSURANCES SOCIALES : Statuant À la forme :</w:t>
      </w:r>
    </w:p>
    <w:p>
      <w:r>
        <w:rPr>
          <w:b/>
        </w:rPr>
        <w:t>E. 13</w:t>
      </w:r>
    </w:p>
    <w:p>
      <w:r>
        <w:t>septembre 2021, que l’état de santé somatique de la recourante, qui avait dû subir une intervention chirurgicale le 9 février 2021, s’était temporairement aggravé depuis le prononcé de la première décision, puisqu’il a tenu compte d’une incapacité de travail totale, dans toute activité, du 5 mai 2020 au 26 avril 2021. La recourante conteste cette appréciation et fait valoir qu’elle n’a jamais repris le travail depuis le 5 mai 2020. La chambre de céans constate toutefois que la détermination du SMR repose sur les rapports des médecins traitants de la recourante. Elle relève en particulier que le Dr JENNY a considéré que l’évolution était favorable suite à l’opération du 9 février 2021. Il a indiqué, dans son rapport du 18 mars 2021, que l’arrêt de travail était prolongé jusqu’à fin avril et qu’une reprise serait alors discutée. Le 26 avril 2021, il a expliqué qu’il proposait de prolonger l’incapacité de travail d’un mois supplémentaire, car l’intéressée travaillait comme femme de ménage.</w:t>
      </w:r>
    </w:p>
    <w:p>
      <w:r>
        <w:t>A/1479/2023 - 13/15 - Ainsi, si la recourante avait exercé une activité adaptée, compatible avec les restrictions retenues lors du prononcé de la première décision, le chirurgien aurait mis un terme à l’arrêt de travail à cette date au plus tard. Dans son rapport du 26 avril 2021, la Dre B______ a elle aussi fait état d’une amélioration de la symptomatologie douloureuse et signalé que les douleurs résiduelles post- opératoires étaient bien soulagées par le traitement. Partant, sur la base de ces informations, le SMR était fondé à conclure que la recourante avait récupéré une pleine capacité de travail dans une activité adaptée dès le 26 avril 2021. Les indications sommaires contenues dans le rapport du 31 mai 2021 de la Dre B______, qui a attesté d’une totale incapacité de travail depuis le 5 mai 2020, ne sont pas propres à remettre en cause cette appréciation. En effet, la chambre de céans observe d’emblée que la médecin traitante a été invitée à se déterminer sur la capacité de travail sous l’angle de l’activité habituelle et qu’elle ne s’est pas expressément déterminée sur l’aptitude dans un métier adapté. Au niveau des diagnostics, elle relève que la Dre B______ a mentionné dans ce document que sa patiente souffrait de lombalgies et de fibromyalgie, et qu’il ressort de l’opposition de la recourante du 7 octobre 2021, cosignée par ses médecins, que cette seconde atteinte était déjà connue lors du dépôt de la première demande de prestations. Or, à cette époque, la Dre B______ n’avait pas signalé ce diagnostic et elle estimait que sa patiente disposait d’une pleine capacité de travail dans une activité adaptée. En l’absence de toute explication, rien ne permet de penser que cette atteinte, que la recourante n’a pas non plus évoquée à l’appui de ses demandes, aurait alors eu des répercussions sur sa capacité de travail. La médecin traitante n’a d’ailleurs pas fait état de symptômes en lien avec cette pathologie, puisqu’elle a rapporté que sa patiente souffrait de douleurs lombaires, avec des irradiations dorsales et aux membres inférieurs et des dysesthésies aux membres inférieurs. Enfin, elle a précisé que ces troubles étaient en péjoration depuis deux semaines, soit postérieurement au 26 avril 2021, date à laquelle elle avait relaté que les douleurs résiduelles post-opératoires étaient bien soulagées par le traitement prescrit. Les informations médicales mentionnées dans l’opposition du 7 octobre 2021 ne permettent pas non plus de douter de la pertinence de l’évaluation du SMR quant à la capacité de travail dans une activité adaptée entre le 26 avril et le 8 septembre 2021. Il sera en particulier rappelé qu’aucun élément ne laisse supposer que la fibromyalgie aurait eu une incidence sur la capacité de travail de la recourante dans une activité adaptée durant la période litigieuse. De surcroît, les médecins n’ont pas précisé la date à laquelle ils avaient réalisé les tests pour la fibromyalgie.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