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ATAS/191/2020 vom 2. März 2020</w:t>
      </w:r>
    </w:p>
    <w:p>
      <w:r>
        <w:t>GE Cour de justice, 2020-03-02, FR</w:t>
      </w:r>
    </w:p>
    <w:p>
      <w:r>
        <w:rPr>
          <w:b/>
        </w:rPr>
        <w:t xml:space="preserve">Quelle: </w:t>
      </w:r>
      <w:r>
        <w:t>https://mcp.opencaselaw.ch/entscheid/ge_gerichte_ATAS_191_2020</w:t>
      </w:r>
    </w:p>
    <w:p>
      <w:r>
        <w:t>FR: GE_GERICHTE ATAS/191/2020 du 2 mars 2020</w:t>
      </w:r>
    </w:p>
    <w:p>
      <w:r>
        <w:t>IT: GE_GERICHTE ATAS/191/2020 del 2 marzo 2020</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leur siège (art. 10 al. 1 let. a/b CPC), étant précisé que l’art. 17 al. 1 CPC consacre la possibilité d’une élection de for écrite. En l’occurrence, l’art. J 1 par. 2 des conditions générales d’assurance applicables au présent litige (ci-après : CGA) prévoit que le preneur d’assurance ou l’ayant droit peut intenter une action contre la défenderesse concernant les couverture LCA : au lieu de son domicile en Suisse, au lieu de son travail en Suisse, ou à Winterthur. Le demandeur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w:t>
      </w:r>
    </w:p>
    <w:p>
      <w:r>
        <w:t>A/2695/2019 - 7/13 - 558 consid. 4.5 et 4.6 ;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À titre liminaire, il convient d’examiner les conclusions de la demande, dont la défenderesse invoque l’irrecevabilité.</w:t>
      </w:r>
    </w:p>
    <w:p>
      <w:r>
        <w:rPr>
          <w:b/>
        </w:rPr>
        <w:t>E. 6</w:t>
      </w:r>
    </w:p>
    <w:p>
      <w:r>
        <w:t>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w:t>
      </w:r>
    </w:p>
    <w:p>
      <w:r>
        <w:rPr>
          <w:b/>
        </w:rPr>
        <w:t>E. 7</w:t>
      </w:r>
    </w:p>
    <w:p>
      <w:r>
        <w:t>L’art. 84 al. 2 CPC prescrit que l’action tendant au paiement d’une somme d’argent doit être chiffrée. Il s’agit d’une condition de recevabilité, que le juge doit examiner d’office (arrêt du Tribunal fédéral 4A_235/2016 du 7 mars 2017 consid. 2.1; BOHNET, op. cit., n. 17 ad art. 84 et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conformément à l’art. 85 al. 1 in fine CPC (BOHNET, op. cit., n. 18 ad</w:t>
      </w:r>
    </w:p>
    <w:p>
      <w:r>
        <w:t>A/2695/2019 - 8/13 -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rPr>
          <w:b/>
        </w:rPr>
        <w:t>E. 8</w:t>
      </w:r>
    </w:p>
    <w:p>
      <w:r>
        <w:t>L’art. 56 CPC prévoit que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Selon la jurisprudence, le devoir d'interpellation du juge ne doit pas servir à réparer des négligences procédurales. Ce point de vue est aussi exprimé dans la doctrine.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Le point de vue selon lequel le juge n'a en principe pas à pallier le défaut de diligence de l'avocat fait l'objet de critiques ou nuances; d'aucuns relèvent que la partie « mal » assistée ne doit pas être désavantagée par rapport à celle qui procède seule (arrêt du Tribunal fédéral 4D_57/2013 du 2 décembre 2013 consid. 3.2 et les références citées). Quoi qu’il en soit, ni le devoir d'interpellation, ni la maxime inquisitoire sociale applicable à la présente procédure (art. 247 al. 2 let. a CPC en lien avec l'art. 243 al. 2 let. f CPC), selon laquelle le juge établit les faits d’office, ne s’opposent à ce qu’un recours – ou une demande – soit déclaré irrecevable en raison d'une motivation insuffisante ou de conclusions mal formulées (arrêt du Tribunal fédéral 4A_618/2017 du 11 janvier 2018 consid. 4.3.1 et 4.3.2).</w:t>
      </w:r>
    </w:p>
    <w:p>
      <w:r>
        <w:rPr>
          <w:b/>
        </w:rPr>
        <w:t>E. 9</w:t>
      </w:r>
    </w:p>
    <w:p>
      <w:r>
        <w:t>Selon l'art. 132 al. 1 CPC, le tribunal fixe un délai pour la rectification des vices de forme telle l'absence de signature ou procuration. La jurisprudence a précisé que cette disposition n'est pas applicable aux conclusions incomplètes prises dans un recours ou dans une demande (ATF 137 III 617 consid. 6.4 ; arrêts du Tribunal fédéral 4A_618/2017 du 11 janvier 2018 consid. 4.4 ; 4A_375/2015 du 26 janvier</w:t>
      </w:r>
    </w:p>
    <w:p>
      <w:r>
        <w:t>A/2695/2019 - 9/13 - 2016 consid. 7.2; 4A_258/2015 du 21 octobre 2015 consid. 2.4.1; 4A_203/2013 du 6 juin 2013 consid. 3.2 et les références), et en particulier aux conclusions non chiffrées figurant dans une demande (arrêt 4A_375/2015 précité consid. 7.2, contra BOHNET, op. cit., n. 19 et 25 ad art. 85 CPC et n. 29 ad art. 132 CPC). L’art. 132 al. 2 CPC permet de réparer certains manquements typiques des plaideurs qui procèdent sans l’assistance d’un avocat (arrêt du Tribunal fédéral 4A_659/2011 du 7 décembre 2011 consid. 5). Lorsque le demandeur est assisté d’un avocat, il se justifie de se montrer plus rigoureux que face à un plaideur ignorant du droit. En effet, le juge est en droit d'admettre que l’avocat agit en pleine connaissance de cause ; il est présumé capable, en raison de sa formation particulière, de représenter utilement son client (ATF 113 Ia 84 consid. 3d ; ATAS/840/2015 du 29 octobre 2015).</w:t>
      </w:r>
    </w:p>
    <w:p>
      <w:r>
        <w:rPr>
          <w:b/>
        </w:rPr>
        <w:t>E. 10</w:t>
      </w:r>
    </w:p>
    <w:p>
      <w:r>
        <w:t>En l’espèce, le demandeur conclut premièrement à ce que la défenderesse soit condamnée à poursuivre le versement des indemnités journalières. Cette conclusion vise le paiement d’une somme d’argent, dès lors qu’une exécution en nature n’est pas envisageable. Or, le demandeur, assisté d’un mandataire professionnellement qualifié, n’a pas chiffré ses conclusions. Dans sa réponse du 7 octobre 2019, la défenderesse a conclu à l’irrecevabilité de la demande, faute de conclusions chiffrées. a. Dans sa réplique du 25 octobre 2019, le demandeur soutient tout d’abord qu’il serait dans l’impossibilité d’articuler le montant de sa prétention, au motif qu’il a fait une demande de prestations auprès de l’assurance-invalidité, ce qui aurait pour conséquence que sa prétention pourrait « prendre fin à n’importe quel moment ». Dans le droit suisse des assurances sociales, il n’est pas rare qu’un même risque soit couvert par plusieurs systèmes de sécurité sociale. Une coordination entre les différentes prestations est alors nécessaire. Elle est réglée dans la LPGA. Les dispositions pertinentes sont surtout les art. 63 à 71 LPGA, qui identifient les principales catégories de prestations (notamment les rentes et les traitements médicaux), précisent la notion de surindemnisation et règlent la prise en charge provisoire des prestations (Rapport du Conseil fédéral du 28 juin 2017 sur la coordination entre les assurances d’indemnités journalières et les prestations du 1er et 2ème pilier: https://www.newsd.admin.ch/newsd/message/attachments/48825.pdf, p. 6). À la différence des indemnités journalières LAMal, les indemnités journalières LCA ne sont en principe pas soumises aux dispositions de la LPGA qui prévoient un cumul avec les prestations de l’AI. La LCA ne contient quasiment aucune disposition impérative concernant le contenu des relations contractuelles. Les éléments déterminants sont par conséquent les conditions générales d’assurance (CGA) établies par les assureurs eux-mêmes. Pour les preneurs d’assurance, ces conditions ne sont contraignantes que si elles sont expressément reprises dans les contrats qui les concernent. Faisant usage de ces libertés contractuelles, les</w:t>
      </w:r>
    </w:p>
    <w:p>
      <w:r>
        <w:t>A/2695/2019 - 10/13 - assureurs ont généralement prévu dans leurs CGA la possibilité de réduire l’indemnité journalière assurée en cas d’assurance multiple (conclusion de plusieurs assurances d’indemnités journalières) ou en cas de surindemnisation (par exemple en cas de concours avec des prestations d’assurances sociales) (Rapport du Conseil fédéral précité, p. 8). En l’espèce, l’art. E9 § 1 des conditions particulières d’assurance prévoit que l’assurance complète les éventuelles prestations de l’AI dans les limites de sa propre obligation de fournir de prestations, et jusqu’à concurrence de l’indemnité journalière assurée. L’art. E9 § 2 prévoit en outre qu’en cas d’octroi ultérieur d’une rente AI, l’assurance peut réclamer directement à ces assurances le remboursement ou la compensation des prestations versées. Par conséquent, le demandeur ne saurait être suivi lorsqu’il soutient qu’il ne serait pas en mesure de chiffrer ses prétentions en raison de la demande de prestations d’invalidité qu’il a déposée. En effet, si cette demande devait aboutir à l’octroi d’une rente, l’assurance pourrait, conformément à l’art. E9 §2 des conditions particulières d’assurance, réclamer directement à l’assurance-invalidité le remboursement ou la compensation des prestations versées. b. Le demandeur invoque ensuite l'art. 132 CPC, soutenant que la chambre de céans devrait lui accorder un délai pour chiffrer ses conclusions, sous peine de formalisme excessif. Or, cette disposition ne s’applique pas, comme cela ressort de la jurisprudence susmentionnée, aux conclusions incomplètes prises dans un recours ou dans une demande. Le demandeur étant assisté d’un mandataire professionnel et sa demande n’étant pas entachée d’un simple vice formel, il n’y a pas lieu de lui accorder un délai de grâce pour chiffrer ses conclusions (arrêt du Tribunal fédéral 4A_618/2017 précité consid. 4.4 ; ATAS/937/2017 du 19 octobre 2017 consid. 8). c. Dans sa réplique, le demandeur estime le montant de ses prétentions à CHF 11'520.-, indiquant que cette somme pouvait se déduire du montant de CHF 198'727.- que lui réclamait la défenderesse, correspondant à environ CHF 8'640.- d’indemnités journalières par mois, soit une indemnité journalière de CHF 288.-. Ce faisant, il démontre qu’il lui était tout à fait possible d’indiquer, conformément à l’art. 85 al. 1 CPC, une valeur litigieuse provisoire dans sa demande, qu’il aurait pu préciser dans la suite de la procédure, après avoir obtenu de la défenderesse les décomptes d’indemnités journalières. Il sied ici de relever que l’indication de la somme de CHF 11'520.- dans le texte de sa réplique ne saurait réparer l’absence de conclusion chiffrée dans sa demande. En effet, dans la mesure où le demandeur ne peut obtenir un délai du tribunal que pour rectifier des vices de forme (conformément à l’art. 132 CPC) et non pour chiffrer ses conclusions (arrêt du Tribunal fédéral 4A_618/2017 précité consid. 4.4), il ne saurait bénéficier de cette possibilité par le biais de sa réplique.</w:t>
      </w:r>
    </w:p>
    <w:p>
      <w:r>
        <w:t>A/2695/2019 - 11/13 - d. Le demandeur soutient enfin qu’en réclamant l’annulation de la demande de remboursement de CHF 198'727.- il aurait chiffré ce à quoi il ne souhaitait pas renoncer, et partant, son « action en paiement ». Cet argument tombe à faux. En tant que le demandeur vise à faire constater qu’il ne doit pas rembourser la somme litigieuse, cette conclusion est de nature constatatoire, ce que lui-même reconnaît dans ses écritures. Sa recevabilité sera examinée ci-après. L’indication d’un montant dans sa conclusion constatatoire ne peut avoir pour conséquence de réparer l’absence de chiffrement de sa première conclusion, de nature condamnatoire. Ces deux conclusions sont indépendantes et n’ont pas le même objet, la première visant à la poursuite du versement des indemnités journalières, et la seconde à ce qu’il ne soit pas contraint de rembourser les indemnités déjà versées. Au vu de ce qui précède, en se bornant à conclure à la condamnation de la défenderesse à poursuivre le versement des indemnités journalières dès le 8 avril 2019, le demandeur délègue de facto au juge la tâche de déterminer la quotité des prestations auxquelles il pourrait éventuellement prétendre, ce qui n’est pas admissible (ATF 134 III 235 consid. 2). Partant, la première conclusion du demandeur doit être déclarée irrecevable.</w:t>
      </w:r>
    </w:p>
    <w:p>
      <w:r>
        <w:rPr>
          <w:b/>
        </w:rPr>
        <w:t>E. 11</w:t>
      </w:r>
    </w:p>
    <w:p>
      <w:r>
        <w:t>Le demandeur conclut ensuite à « l’annulation de la demande de remboursement de 198'727.- ». a. Aux termes de l’art. 88 CPC, le demandeur intente une action en constatation de droit pour faire constater par un tribunal l’existence ou l’inexistence d’un droit ou d’un rapport de droit. La demande en constat est subsidiaire à l’action condamnatoire (art. 84 CPC) ou formatrice (art. 87 CPC ; ATF 123 III 49 consid. 1a, JdT 1998 I 659). Par conséquent, là où différentes actions entrent en concurrence, il convient d’intenter celle qui peut le plus efficacement procurer au demandeur l’avantage qu’il recherche (ATF 122 III 279, in JdT 1998 I 605). Lorsque les prétentions du demandeur sont totalement exigibles et peuvent faire l’objet d’une action condamnatoire, il convient d’utiliser cette voie ; une demande en constat est irrecevable (ATF 103 II 220 ; arrêt du Tribunal fédéral 4C.7/2003 du 26 mai 2003 consid. 5 ; BOHNET, op. cit., n. 7 ad art. 84 CPC). Il appartient au demandeur de démontrer son intérêt au constat (ATF 127 III 481 consid. 1 ; arrêts du Tribunal fédéral 4P.239/2005 du 21 novembre 2005 consid. 4.3 et 4C.192/2004 consid. 2.4). Il n’y a pas d’intérêt au constat si le demandeur cherche à faire trancher une question de droit abstraite ou à recevoir une consultation juridique (ATF 122 III 279; 101 II 177 consid. 4c in fine). L'action en constatation n’a pas une fonction de réparation morale (ATF 122 III 449 consid. 2). La question de l’intérêt se posant par définition en matière de demande en constat, le juge n’a pas à y rendre le demandeur spécifiquement attentif (BOHNET, op. cit., n. 32 ad art. 88 CPC).</w:t>
      </w:r>
    </w:p>
    <w:p>
      <w:r>
        <w:t>A/2695/2019 - 12/13 - b. En l’espèce, le demandeur ne justifie d’aucun intérêt digne de protection à l’obtention d’un jugement constatant la prétendue nullité de la créance invoquée par la défenderesse. En effet, au moment du dépôt de sa demande, il ne s’était pas même encore vu notifier un commandement de payer la somme litigieuse. Le demandeur aura la possibilité de faire valoir la prétendue nullité de cette créance dans le cadre de la procédure de mainlevée de son opposition, que la défenderesse va vraisemblablement initier. Par conséquent, cette conclusion constatatoire se révèle également irrecevable. Partant, la question soulevée par la défenderesse relative à la prétendue irrecevabilité de cette seconde conclusion au motif que le demandeur ne fait pas de référence à une monnaie peut souffrir de demeurer ouverte.</w:t>
      </w:r>
    </w:p>
    <w:p>
      <w:r>
        <w:rPr>
          <w:b/>
        </w:rPr>
        <w:t>E. 12</w:t>
      </w:r>
    </w:p>
    <w:p>
      <w:r>
        <w:t>Au vu de ce qui précède, la demande sera déclarée irrecevable. La chambre de céans attire l’attention du demandeur sur le fait qu’il conserve la possibilité de redéposer une demande en paiement en bonne et due forme, ses prétentions n’étant en l’état pas encore prescrites (art. 46 al. 1 LCA).</w:t>
      </w:r>
    </w:p>
    <w:p>
      <w:r>
        <w:rPr>
          <w:b/>
        </w:rPr>
        <w:t>E. 13</w:t>
      </w:r>
    </w:p>
    <w:p>
      <w:r>
        <w:t>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w:t>
      </w:r>
    </w:p>
    <w:p>
      <w:r>
        <w:t>A/2695/2019 - 13/13 -</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