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ATAS/191/2019 vom 4. März 2019</w:t>
      </w:r>
    </w:p>
    <w:p>
      <w:r>
        <w:t>GE Cour de justice, 2019-03-04, FR</w:t>
      </w:r>
    </w:p>
    <w:p>
      <w:r>
        <w:rPr>
          <w:b/>
        </w:rPr>
        <w:t xml:space="preserve">Quelle: </w:t>
      </w:r>
      <w:r>
        <w:t>https://mcp.opencaselaw.ch/entscheid/ge_gerichte_ATAS_191_2019</w:t>
      </w:r>
    </w:p>
    <w:p>
      <w:r>
        <w:t>FR: GE_GERICHTE ATAS/191/2019 du 4 mars 2019</w:t>
      </w:r>
    </w:p>
    <w:p>
      <w:r>
        <w:t>IT: GE_GERICHTE ATAS/191/2019 del 4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le recourant peut bénéficier d’une remise de l’obligation de restituer la somme de CHF 59'319.-.</w:t>
      </w:r>
    </w:p>
    <w:p>
      <w:r>
        <w:rPr>
          <w:b/>
        </w:rPr>
        <w:t>E. 4</w:t>
      </w:r>
    </w:p>
    <w:p>
      <w:r>
        <w:t>Les dispositions de la LPGA, en vigueur depuis le 1er janvier 2003, s’appliquent aux prestations complémentaires fédérales à moins que la LPC n’y déroge</w:t>
      </w:r>
    </w:p>
    <w:p>
      <w:r>
        <w:t>A/2255/2018 - 6/10 -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 Selon l’art. 2 al. 1 let. a de l’ordonnance sur la partie générale du droit des assurances sociales du 11 septembre 2002 (OPGA - RS 830.11), sont soumis à l'obligation de restituer le bénéficiaire des prestations allouées indûment ou ses héritiers. Selon l’art. 4 al. 1 et 2 OPGA,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c. La dette de la personne tenue à restitution passe aux héritiers - sauf répudiation de la succession - au décès de cette dernière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 arrêt du Tribunal fédéral P 32/06 du 14 novembre 2006). d. La remise de l'obligation de restituer doit cependant être accordée aux héritiers s'ils étaient eux-mêmes de bonne foi et que la restitution les mettrait dans une situation difficile (cf. également ATF 105 V 84 consid. 4). La bonne foi ne saurait être reconnue lorsque le versement à tort de la prestation est dû à une grave</w:t>
      </w:r>
    </w:p>
    <w:p>
      <w:r>
        <w:t>A/2255/2018 - 7/10 -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(arrêt du Tribunal fédéral P 3/01 du 25 mai 2001). Est effectivement déterminante dans le contexte d'une remise de l'obligation de restituer - à laquelle sont soumis les héritiers du bénéficiaire des prestations indûment octroyées (cf. art. 2 al. 1 let. a OPGA) - la situation financière du débiteur (cf. ATF 105 V 74 consid. 4 p. 84 sv.) au moment où la décision de restitution des prestations versées à tort est devenue exécutoire (cf. art. 4 al. 2 OPGA ; arrêt du Tribunal fédéral 9C 747/2013 du 16 janvier 2014). Le Tribunal fédéral a précisé que,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où la restitution devait être opérée (cf. ATF 122 V 134 consid. 3c et d p. 140 sv. ; ATF 122 V 221 consid. 6d p. 228 ; arrêt du Tribunal fédéral 9C 286/2012 du 31 août 2012).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w:t>
      </w:r>
    </w:p>
    <w:p>
      <w:r>
        <w:t>A/2255/2018 - 8/10 - entendu qu'il n'y a pas lieu, dans ce cas, de tenir compte du capital versé dans le calcul de la fortune fictive (arrêt du Tribunal fédéral 8C 954/2008 du 29 mai 2009).</w:t>
      </w:r>
    </w:p>
    <w:p>
      <w:r>
        <w:rPr>
          <w:b/>
        </w:rPr>
        <w:t>E. 6</w:t>
      </w:r>
    </w:p>
    <w:p>
      <w:r>
        <w:t>En l’espèce, l’intimé a admis que la condition de la bonne foi était réalisée, le recourant étant l’héritier des prestations versées à tort et l’éventuelle mauvaise foi du de cujus au moment où il a perçu les prestations en cause, ne pouvant lui être imputée, ce qui correspond à l’application de la jurisprudence fédérale précitée. Reste à examiner si le recourant peut se prévaloir d’une situation difficile. A cet égard, le recourant indique qu’il ne dispose plus de la fortune héritée de CHF 107'046.50, soit en particulier de sa part de CHF 53'523.-, l’ayant utilisée pour payer diverses dettes avant l’entrée en force de la décision de restitution, de sorte que ce montant ne pourrait plus être pris en compte dans l’examen de sa situation financière, au sens de l’art. 5 OPGA. De même, la part de CHF 53'523.- en possession de son frère, après partage de la succession, ne pourrait pas non plus être prise en compte. La situation du recourant correspond à celle du cas jurisprudentiel précité (arrêt du Tribunal fédéral 8C 954/2008 du 29 mai 2009), de sorte qu’il convient d’examiner les motifs de la diminution de son patrimoine. A cet égard, dans un arrêt du 11 septembre 2013 (ATAS/891/2013), la chambre de céans a considéré que l’héritier, pour se prévaloir valablement d’une diminution de la fortune héritée et, partant, d’une situation difficile au sens de l’art. 5 OPGA, devait encore être de bonne foi lors du dessaisissement, ce qui n’était pas le cas si l’héritier devait s’attendre à devoir restituer au SPC une partie de la fortune héritée. Cette exigence de la bonne foi est ainsi différente de celle reconnue à l’héritier des prestations reçues à tort et évoquée ci-dessus. En l’occurrence, la chambre de céans constate que dès le 25 mai 2016, le recourant a été dûment averti par l’intimé qu’un contrôle des avoirs du bénéficiaire serait effectué. L’intimé a requis des pièces complémentaires, en soulignant qu’il apparaissait déjà, à ce stade, une variation des actifs du bénéficiaire. Sur quoi, les héritiers ont communiqué à l’intimé le 22 juin 2016 les extraits de comptes requis. Ces éléments démontrent que dès le mois de mai 2016, le recourant savait qu’un nouveau calcul des prestations dues au bénéficiaire était probable, lequel pouvait aboutir à un trop-perçu et, en conséquence, à une décision de restitution dirigée à son encontre, en tant qu’héritier de la succession du bénéficiaire. En conséquence, l’utilisation du capital successoral reçu, dont les versements pour un total de CHF 45'500.- effectués par le recourant à son épouse, aussitôt qu’il a pu disposer de sa part successorale de CHF 53'523.-, doit être qualifiée de dessaisissement de fortune, alors que le recourant n’était pas de bonne foi. Dans ce cas, le recourant doit être considéré comme ayant encore la maitrise effective de la fortune dessaisie, de sorte qu’il ne peut se prévaloir d’une situation financière difficile.</w:t>
      </w:r>
    </w:p>
    <w:p>
      <w:r>
        <w:t>A/2255/2018 - 9/10 - Le recourant fait encore valoir qu’au moment où il a pris connaissance du montant de la restitution, la succession était déjà partagée et qu’il ne disposait plus que de la moitié du capital successoral, soit un montant inférieur à celui réclamé en restitution de CHF 59'319.-. Cependant, le recourant a décidé d’effectuer le partage de la succession, nonobstant la probable demande de restitution de l’intimé, de sorte qu’il ne saurait s’en prévaloir pour s’opposer à cette dernière, étant de surcroît rappelé qu’il est débiteur solidairement avec son frère de l’entier de la dette.</w:t>
      </w:r>
    </w:p>
    <w:p>
      <w:r>
        <w:rPr>
          <w:b/>
        </w:rPr>
        <w:t>E. 7</w:t>
      </w:r>
    </w:p>
    <w:p>
      <w:r>
        <w:t>Partant, le recours ne peut qu’être rejeté. Pour le surplus, la procédure est gratuite.</w:t>
      </w:r>
    </w:p>
    <w:p>
      <w:r>
        <w:t>A/2255/2018 - 10/10 -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