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ATAS/191/2017 vom 9. März 2017</w:t>
      </w:r>
    </w:p>
    <w:p>
      <w:r>
        <w:t>GE Cour de justice, 2017-03-09, FR</w:t>
      </w:r>
    </w:p>
    <w:p>
      <w:r>
        <w:rPr>
          <w:b/>
        </w:rPr>
        <w:t xml:space="preserve">Quelle: </w:t>
      </w:r>
      <w:r>
        <w:t>https://mcp.opencaselaw.ch/entscheid/ge_gerichte_ATAS_191_2017</w:t>
      </w:r>
    </w:p>
    <w:p>
      <w:r>
        <w:t>FR: GE_GERICHTE ATAS/191/2017 du 9 mars 2017</w:t>
      </w:r>
    </w:p>
    <w:p>
      <w:r>
        <w:t>IT: GE_GERICHTE ATAS/191/2017 del 9 marzo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recourante remplit les conditions pour une remise de l'obligation de restituer.</w:t>
      </w:r>
    </w:p>
    <w:p>
      <w:r>
        <w:t>A/4410/2016 - 4/6 -</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1er).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En l’occurrence, la recourante fait valoir avoir été de bonne foi. En effet, elle avait tout de suite annoncé son déménagement à l’OCPM et ne savait pas que ce déménagement impliquerait la suppression du subside d’assurance-maladie. Toutefois, la recourante ne pouvait ignorer que le montant du loyer faisait partie des dépenses inclues dans le calcul des prestations complémentaires. Partant, elle devait également savoir qu’en changeant de domicile et en diminuant ses frais de logement, le calcul des prestations complémentaires, y compris le subside d’assurance-maladie, devait être modifié. Par ailleurs, le SPC attire régulièrement l’attention de ses bénéficiaires sur le fait que chaque modification dans leur situation personnelle doit être immédiatement annoncée.</w:t>
      </w:r>
    </w:p>
    <w:p>
      <w:r>
        <w:t>A/4410/2016 - 5/6 - Dans ces conditions, l’omission de la recourante d’annoncer immédiatement son changement d’adresse et son emménagement chez sa fille doit être considérée comme une négligence grave. Partant, sa bonne foi ne peut pas être admise. La situation difficile et la bonne foi étant des conditions cumulatives, il n’est pas nécessaire d’examiner si le remboursement de la somme requise mettrait la recourante dans une situation difficile. Au demeurant, cela ne pourrait guère être nié.</w:t>
      </w:r>
    </w:p>
    <w:p>
      <w:r>
        <w:rPr>
          <w:b/>
        </w:rPr>
        <w:t>E. 6</w:t>
      </w:r>
    </w:p>
    <w:p>
      <w:r>
        <w:t>Toutefois, durant la période considérée, il n’est pas exclu que la recourante pourrait bénéficier d'un subside d’assurance-maladie partiel si son revenu déterminant unifié (RDU) ne dépasse pas les limites fixées par le Conseil d’Etat (art. 21 al. 1 de la loi d'application de la loi fédérale sur l'assurance-maladie du 29 mai 1997 (LaLAMal - J 3 05). Il lui appartiendra dès lors d'en faire cas échéant la demande auprès du Service d'assurance-maladie (SAM). Enfin, il sied de relever que les rentes AVS sont insaisissables en vertu de l'art. 20 al. 1 de la loi fédérale sur l’assurance-vieillesse et survivants du 20 décembre 1946 (LAVS - RS 831.10).</w:t>
      </w:r>
    </w:p>
    <w:p>
      <w:r>
        <w:rPr>
          <w:b/>
        </w:rPr>
        <w:t>E. 7</w:t>
      </w:r>
    </w:p>
    <w:p>
      <w:r>
        <w:t>Au vu de ce qui précède, le recours sera rejeté.</w:t>
      </w:r>
    </w:p>
    <w:p>
      <w:r>
        <w:rPr>
          <w:b/>
        </w:rPr>
        <w:t>E. 8</w:t>
      </w:r>
    </w:p>
    <w:p>
      <w:r>
        <w:t>La procédure est gratuite.</w:t>
      </w:r>
    </w:p>
    <w:p>
      <w:r>
        <w:t>***</w:t>
      </w:r>
    </w:p>
    <w:p>
      <w:r>
        <w:t>A/4410/2016 - 6/6 -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