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ATAS/191/2016 vom 8. März 2016</w:t>
      </w:r>
    </w:p>
    <w:p>
      <w:r>
        <w:t>GE Cour de justice, 2016-03-08, FR</w:t>
      </w:r>
    </w:p>
    <w:p>
      <w:r>
        <w:rPr>
          <w:b/>
        </w:rPr>
        <w:t xml:space="preserve">Quelle: </w:t>
      </w:r>
      <w:r>
        <w:t>https://mcp.opencaselaw.ch/entscheid/ge_gerichte_ATAS_191_2016</w:t>
      </w:r>
    </w:p>
    <w:p>
      <w:r>
        <w:t>FR: GE_GERICHTE ATAS/191/2016 du 8 mars 2016</w:t>
      </w:r>
    </w:p>
    <w:p>
      <w:r>
        <w:t>IT: GE_GERICHTE ATAS/191/2016 del 8 marzo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Le litige porte sur le droit du SPC de réclamer à l’intéressé le remboursement de la somme de 108'125 euros pour la période du 1er août 2010 au 31 mars 2015, et plus particulièrement sur la question du montant de la fortune immobilière et du produit immobilier.</w:t>
      </w:r>
    </w:p>
    <w:p>
      <w:r>
        <w:rPr>
          <w:b/>
        </w:rPr>
        <w:t>E. 4</w:t>
      </w:r>
    </w:p>
    <w:p>
      <w:r>
        <w:t>Interjeté dans les forme et délai prévus par la loi, le recours est recevable (art. 56 et 60 LPGA ; art. 43 LPCC).</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6</w:t>
      </w:r>
    </w:p>
    <w:p>
      <w:r>
        <w:t>Ont droit aux prestations complémentaires cantonales les personnes dont le revenu annuel déterminant n’atteint pas le revenu minimum cantonal d’aide sociale applicable (art. 4 LPCC), le montant de la prestation complémentaire correspondant</w:t>
      </w:r>
    </w:p>
    <w:p>
      <w:r>
        <w:t>A/2501/2015 - 8/15 - à la différence entre les dépenses reconnues et le revenu déterminant du requérant (art. 15 al. 1 LPCC). La LPCC renvoie à la réglementation fédérale pour le calcul du revenu et la fortune déterminants, sous réserve de quelques adaptations (art. 5 et 7 LPCC).</w:t>
      </w:r>
    </w:p>
    <w:p>
      <w:r>
        <w:rPr>
          <w:b/>
        </w:rPr>
        <w:t>E. 7</w:t>
      </w:r>
    </w:p>
    <w:p>
      <w:r>
        <w:t>L’art. 10 al. 1 let. a ch. 1 LPC, dans sa teneur au 1er janvier 2015 applicable au cas d'espèce, prévoit, pour les personnes vivant à domicile, que les dépenses reconnues comprennent les montants destinés à la couverture des besoins vitaux, soit, par année CHF 19'290.- pour les personnes seules. Selon la let. b ch. 1 de cette disposition, les dépenses reconnues comprennent en outre le loyer d’un appartement et les frais accessoires y relatifs; le montant annuel maximal reconnu est de CHF 13'200.- pour les personnes seules.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w:t>
      </w:r>
    </w:p>
    <w:p>
      <w:r>
        <w:rPr>
          <w:b/>
        </w:rPr>
        <w:t>E. 8</w:t>
      </w:r>
    </w:p>
    <w:p>
      <w:r>
        <w:t>a. Aux termes de l’art. 11 al. 1 LPC, les revenus déterminants comprennent, entre autres, le produit de la fortune mobilière et immobilière (let. b), un quinzième de la fortune nette, un dixième pour les bénéficiaires de rentes de vieillesse, dans la mesure où elle dépasse CHF 37'500.- pour les personnes seules (let. c). En dérogation à l'art. 11 al. 1 let. c LPC, l'art. 5 let. c LPCC dispose notamment que la part de la fortune nette prise en compte dans le calcul du revenu déterminant est d’un huitième, respectivement d’un cinquième pour les bénéficiaires de rentes de vieillesse. Selon l'art. 23 de l’ordonnance sur les prestations complémentaires à l’assurance- vieillesse, survivants et invalidité du 15 janvier 1971 (OPC-AVS/AI - RS 831.301) et l'art. 9 LPCC, sont pris en compte en règle générale pour le calcul de la prestation complémentaire annuelle, les revenus déterminants obtenus au cours de l'année civile précédente et l'état de la fortune le 1er janvier de l'année pour laquelle la prestation est servie (al. 1) ; peut également entrer en considération comme période de calcul celle sur laquelle se fonde la dernière taxation fiscale (al. 2). La prestation complémentaire annuelle doit toujours être calculée compte tenu des rentes, pensions et autres prestations périodiques en cours (art. 11 al. 1 let. d LPC - al. 3). b. S'agissant du produit de la fortune immobilière, lorsque le bénéficiaire n’habite pas le bien immobilier et que celui-ci n’est pas loué, un loyer conforme à l'usage local ou le revenu moyen reflétant le rendement pendant la durée de vie des</w:t>
      </w:r>
    </w:p>
    <w:p>
      <w:r>
        <w:t>A/2501/2015 - 9/15 - bâtiments situés sur le terrain doit être retenu. Selon la doctrine, ce revenu moyen peut être estimé à 5%. Il y a à nouveau lieu de déduire de ce revenu hypothétique les frais d’entretien forfaitaires et les intérêts hypothécaires (Erwin CARIGIET/Uwe KOCH, Ergänzungsleistungen zur AHV/IV, 2ème éd. 2009, p. 172). La chambre de céans a confirmé, à plusieurs reprises, que lorsqu'un immeuble n'est pas situé dans le canton de Genève, le recours à un taux forfaitaire de 4,5% de la valeur du bien pour fixer la valeur locative est admissible, et ce, dans la mesure où les conditions locales ne peuvent pas être déterminées aisément, contrairement aux immeubles situés dans le canton (cf. ATAS/237/2012, ATAS/43/2010, ATAS/732/2009). Le Tribunal fédéral a également jugé que l'emploi de ce taux n'apparaissait pas comme excessif (arrêt du Tribunal fédéral P 57/05 du 29 août 2006). c. Concernant la fortune immobilière, l'art. 17 OPC-AVS/AI dispose que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la jurisprudence, par valeur vénale d'un immeuble selon l'art. 17 al. 4 OPC-AVS/AI, l'on entend le prix de vente du bien dans le cadre de transactions qui se déroulent dans des conditions normales (arrêt du Tribunal fédéral des assurances P 50/00 Gr du 8 février 2001 consid. 2a). La manière de déterminer la valeur vénale – valeur nettement plus élevée que la valeur fiscale - est laissée aux cantons (cf. arrêt du Tribunal fédéral P 13/01 du 25 février 2002 consid. 5c/aa).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A/2501/2015 - 10/15 -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Aux termes de l’art. 25 al. 1 1ère phrase LPGA, « les prestations indûment touchées doivent être restituées ».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t>A/2501/2015 - 11/15 -</w:t>
      </w:r>
    </w:p>
    <w:p>
      <w:r>
        <w:rPr>
          <w:b/>
        </w:rPr>
        <w:t>E. 12</w:t>
      </w:r>
    </w:p>
    <w:p>
      <w:r>
        <w:t>En premier lieu, il convient de déterminer si l’intéressé a touché indûment des prestations de la part du SPC. En l’espèce, l’intéressé a acquis une grange en France en 1994. Étant donné que ce bien immobilier n’a pas été pris en compte dans le calcul du droit aux prestations alors qu’il devait l’être, l’intéressé a perçu des prestations auxquelles il n’avait pas droit. Ces faits sont importants car de nature à modifier le calcul du revenu déterminant et ils existaient déjà lorsque les décisions entrées en force ont été rendues, mais ils ont été découverts après coup, en décembre 2012. Par conséquent, il s’agit d'un motif de révision procédurale (ATF 122 V 134 consid. 2d et les arrêts cités). Partant, en vertu de l’art. 25 al. 1 LPGA, le SPC était en droit de réclamer la restitution des prestations versées indûment à l’intéressé indépendamment de sa bonne foi dès lors qu’il y a lieu de rétablir la situation légale.</w:t>
      </w:r>
    </w:p>
    <w:p>
      <w:r>
        <w:rPr>
          <w:b/>
        </w:rPr>
        <w:t>E. 13</w:t>
      </w:r>
    </w:p>
    <w:p>
      <w:r>
        <w:t>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En l’espèce, en notifiant sa décision le 31 mars 2015 alors qu’il a eu connaissance de l’existence du bien immobilier le 12 décembre 2014, le SPC a respecté le délai de péremption d’un an. En réclamant le remboursement des prestations versées à tort depuis le 1er août 2010, il a également respecté le délai de cinq ans.</w:t>
      </w:r>
    </w:p>
    <w:p>
      <w:r>
        <w:rPr>
          <w:b/>
        </w:rPr>
        <w:t>E. 14</w:t>
      </w:r>
    </w:p>
    <w:p>
      <w:r>
        <w:t>En l’espèce, le SPC s’est fondé sur deux estimations du bien immobilier dont l’intéressé est propriétaire en France, la première établie par l’agence C______ le 11 janvier 2010 et la seconde par un notaire le 3 février 2015. L’intéressé conteste la valeur retenue par le SPC à titre de fortune immobilière. Il considère que l’estimation du notaire ne correspond pas à la valeur réelle du bien, celui-ci n’ayant pas tenu compte de la problématique de l’amiante sur le toit et l’avant-toit. Il a à cet égard produit deux devis concernant le désamiantage de l’avant-toit pour 15'996.- euros et du toit pour 53'884.- euros.</w:t>
      </w:r>
    </w:p>
    <w:p>
      <w:r>
        <w:t>A/2501/2015 - 12/15 -</w:t>
      </w:r>
    </w:p>
    <w:p>
      <w:r>
        <w:rPr>
          <w:b/>
        </w:rPr>
        <w:t>E. 15</w:t>
      </w:r>
    </w:p>
    <w:p>
      <w:r>
        <w:t>Interrogé par la chambre de céans, le notaire a cependant confirmé que l’avis de valeur communiqué tenait compte de la présence d’amiante sur la toiture. Il a expliqué avoir déterminé la valeur vénale du bien par comparaison avec les prix pratiqués dans la même commune en 2014 et 2015. Il a ainsi donné deux exemples de vente de biens comparables aux prix de 155'000.- euros et de 138'000.- euros.</w:t>
      </w:r>
    </w:p>
    <w:p>
      <w:r>
        <w:rPr>
          <w:b/>
        </w:rPr>
        <w:t>E. 16</w:t>
      </w:r>
    </w:p>
    <w:p>
      <w:r>
        <w:t>Aussi le SPC, se fondant sur le prix auquel a été vendue la seconde maison, - d’une surface habitable de 95 m2, soit d’une surface inférieure à celle de l’intéressé (135 m2), et compte tenu du fait que cette maison nécessite, de même que celle de l’intéressé, une réfection de sa toiture, estimée à 45'811 euros, ce qui correspond approximativement au montant des deux devis produits par l’intéressé - a-t-il accepté de réduire à 138'000.- euros le montant à prendre en considération à titre de bien immobilier dès le 1er décembre 2015.</w:t>
      </w:r>
    </w:p>
    <w:p>
      <w:r>
        <w:rPr>
          <w:b/>
        </w:rPr>
        <w:t>E. 17</w:t>
      </w:r>
    </w:p>
    <w:p>
      <w:r>
        <w:t>À titre préalable, on précisera que le Tribunal fédéral n'a pas établi de conditions de validité formelle auxquelles doivent satisfaire les expertises sur des biens immobiliers afin de se voir reconnaître valeur probante dans les litiges en matière d'assurances sociales. La procédure en assurances sociales est régie par le principe de la libre appréciation des preuves (ATF 99 V 12 consid. 3c). Par ailleurs, les directives du SPC permettent, pour les immeubles sis à l’étranger, de se fonder sur une estimation établie à l’étranger. En l’occurrence, l’évaluation à 138'000.- euros tient compte des circonstances concrètes, - éléments objectifs et subjectifs - du bien, et plus particulièrement de la question de l’amiante, de sorte qu’il n’y a pas lieu d’ordonner une expertise. La chambre de céans considère, au vu de ce qui précède, que c’est à bon droit que le SPC a retenu le montant de 138'000.- euros, dès le 1er décembre 2015.</w:t>
      </w:r>
    </w:p>
    <w:p>
      <w:r>
        <w:rPr>
          <w:b/>
        </w:rPr>
        <w:t>E. 18</w:t>
      </w:r>
    </w:p>
    <w:p>
      <w:r>
        <w:t>Le SPC a établi la valeur vénale de l’immeuble de 2010 à 2015 en procédant à une augmentation linéaire de 66'000.- euros sur cinq ans. S’il est en effet exact que la valeur vénale d’un immeuble doit être en principe calculée par l’expert concrètement pour chaque année considérée, l’évaluation repose sur des coefficients dépendant de l’ancienneté du bâtiment, soit de l’écoulement du temps, qui est un facteur linéaire. Par conséquent, la chambre de céans considère qu’il n’y a pas en l’espèce de contre-indication à faire une moyenne entre 2010 et 2015, étant précisé au surplus que les conversions de devises ne sont pas contestées par l’intéressé. La cause est en conséquence renvoyée au SPC afin qu’il reprenne le calcul des prestations complémentaires, en tenant compte de la valeur vénale de l’immeuble fixée à 104'000.- euros en 2010 et à 138'000.- euros en 2015 et en procédant à une augmentation linéaire de 34'000.- euros (138'000.- euros – 104'000 euros) sur 5 ans.</w:t>
      </w:r>
    </w:p>
    <w:p>
      <w:r>
        <w:rPr>
          <w:b/>
        </w:rPr>
        <w:t>E. 19</w:t>
      </w:r>
    </w:p>
    <w:p>
      <w:r>
        <w:t>Le SPC a retenu une valeur locative potentielle, sur la base de l’estimation immobilière établie par le notaire, de 700.- euros en 2015.</w:t>
      </w:r>
    </w:p>
    <w:p>
      <w:r>
        <w:t>A/2501/2015 - 13/15 - L’intéressé a contesté la prise en compte par le SPC d’un produit immobilier, alléguant que la maison n’était pas habitable durant toutes ces années. Il fait du reste valoir qu’il n’a pas encore obtenu le permis d’habiter.</w:t>
      </w:r>
    </w:p>
    <w:p>
      <w:r>
        <w:rPr>
          <w:b/>
        </w:rPr>
        <w:t>E. 20</w:t>
      </w:r>
    </w:p>
    <w:p>
      <w:r>
        <w:t>Aux termes de l’art. 11 al. 1 let. b LPC, les revenus déterminants comprennent le produit de la fortune mobilière et immobilière. Lorsque le bénéficiaire de prestations complémentaires habite le bien immobilier dont il est propriétaire, la valeur locative du bien en question entre en considération à titre de produit de la fortune immobilière au sens de l’art. 11 al. 1 let. b LPC. Selon l'art. 12 al. 1 OPC-AVS/AI,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De ce montant, il y a encore lieu de déduire le montant forfaitaire relatif aux frais d’entretien des bâtiments ainsi que les frais hypothécaires (Erwin CARIGIET/Uwe KOCH, Ergänzungsleistungen zur AHV/IV, 2ème éd. 2009, p. 170). Lorsque le bénéficiaire n’habite pas le bien immobilier en question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 précité). De ce revenu hypothétique, il y a à nouveau lieu de déduire les frais d’entretien forfaitaires et les intérêts hypothécaires. Pour calculer les prestations complémentaires, il y a lieu de tenir compte uniquement du produit réel de la fortune. Une exception n'est admise que lorsque l'intéressé a renoncé à des revenus.</w:t>
      </w:r>
    </w:p>
    <w:p>
      <w:r>
        <w:rPr>
          <w:b/>
        </w:rPr>
        <w:t>E. 21</w:t>
      </w:r>
    </w:p>
    <w:p>
      <w:r>
        <w:t>En l'occurrence, il n'est pas contesté que l’intéressé ne tire aucun produit réel du bien immobilier en cause. Ainsi, un tel produit ne pourrait être pris en considération que s'il y avait lieu de considérer qu'il y a renoncé. La chambre de céans a eu l’occasion de dire qu’aucun produit immobilier ne devait être pris en considération dans le cas où une location était effectivement difficile, voire impossible, parce que le propriétaire de la source avait retiré à la recourante le droit d'eau (ATAS/676/2006). Tel n’est pas le cas en l’espèce. Au demeurant, la valeur locative retenue par le SPC est fondée sur l’estimation établie par le notaire le 3 février 2015, soit 700.- euros, ce qui représente un montant largement inférieur aux 5% de la valeur vénale. Il y a ainsi lieu de confirmer, au vu de ce qui précède, la valeur locative retenue par le SPC. Il y aura également lieu de tenir compte des frais d’entretien du bâtiment.</w:t>
      </w:r>
    </w:p>
    <w:p>
      <w:r>
        <w:t>A/2501/2015 - 14/15 -</w:t>
      </w:r>
    </w:p>
    <w:p>
      <w:r>
        <w:rPr>
          <w:b/>
        </w:rPr>
        <w:t>E. 22</w:t>
      </w:r>
    </w:p>
    <w:p>
      <w:r>
        <w:t>Au vu de ce qui précède, le recours est partiellement admis au sens des considérants et le dossier renvoyé au SPC pour nouveau calcul, puis nouvelle décision. Les décisions des 31 mars 2015 et 18 juin 2015 sont annulées.</w:t>
      </w:r>
    </w:p>
    <w:p>
      <w:r>
        <w:rPr>
          <w:b/>
        </w:rPr>
        <w:t>E. 23</w:t>
      </w:r>
    </w:p>
    <w:p>
      <w:r>
        <w:t>Il reste à ajouter que l’intéressé aura la possibilité, le cas échéant, de déposer une demande visant à la remise de l’obligation de rembourser le montant qui pourrait lui être réclamé lorsque cette nouvelle décision sera entrée en force.</w:t>
      </w:r>
    </w:p>
    <w:p>
      <w:r>
        <w:t>A/2501/2015 - 15/15 - PAR CES MOTIFS, LA CHAMBRE DES ASSURANCES SOCIALES : Statuant À la forme : 1. Déclare le recours recevable. Au fond : 2. L’admet partiellement au sens des considérants. 3. Annule les décisions des 31 mars 2015 et 18 juin 2015. 4. Renvoie la cause au SPC pour nouveau calcul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