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ATAS/191/2012 vom 22. Februar 2012</w:t>
      </w:r>
    </w:p>
    <w:p>
      <w:r>
        <w:t>GE Cour de justice, 2012-02-22, FR</w:t>
      </w:r>
    </w:p>
    <w:p>
      <w:r>
        <w:rPr>
          <w:b/>
        </w:rPr>
        <w:t xml:space="preserve">Quelle: </w:t>
      </w:r>
      <w:r>
        <w:t>https://mcp.opencaselaw.ch/entscheid/ge_gerichte_ATAS_191_2012</w:t>
      </w:r>
    </w:p>
    <w:p>
      <w:r>
        <w:t>FR: GE_GERICHTE ATAS/191/2012 du 22 février 2012</w:t>
      </w:r>
    </w:p>
    <w:p>
      <w:r>
        <w:t>IT: GE_GERICHTE ATAS/191/2012 del 22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La LPGA est entrée en vigueur le 1er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229, consid. 1.1).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et d’octroi de mesures de réadaptation (Message concernant la modification de la loi fédérale sur l'assurance-invalidité du 22 juin 2005, FF 2005 4215, p. 4316 et 4322). Les règles de procédure s’appliquent quant à elles sans réserve dès le jour de leur entrée en vigueur (ATF 117 V 71, consid. 6b).</w:t>
      </w:r>
    </w:p>
    <w:p>
      <w:r>
        <w:rPr>
          <w:b/>
        </w:rPr>
        <w:t>E. 4</w:t>
      </w:r>
    </w:p>
    <w:p>
      <w:r>
        <w:t>Est litigieuse la question de savoir si, postérieurement à la décision du 15 février 2002, l’état de santé de la recourante s’est aggravé dans une mesure justifiant l’augmentation de la demi-rente d’invalidité.</w:t>
      </w:r>
    </w:p>
    <w:p>
      <w:r>
        <w:t>A/2448/2011 - 12/17 -</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S’agissant de la révision du droit à la rente,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n. 21 ad art. 17; ATF 130 V 343 consid. 3.5).</w:t>
      </w:r>
    </w:p>
    <w:p>
      <w:r>
        <w:t>A/2448/2011 - 13/17 -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On ajoutera que le motif de révision au sens de l’art. 17 LPGA doit clairement ressortir du dossier (ATFA I 406/05 du 13 juillet 2006, consid. 4.1).</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w:t>
      </w:r>
    </w:p>
    <w:p>
      <w:r>
        <w:t>A/2448/2011 - 14/17 -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Le rapport d’expertise du Dr K__________ correspond en tous points aux réquisits jurisprudentiels développés ci-dessus. Il se fonde en effet sur l’étude du dossier complet de la recourante, complété par un entretien avec le médecin traitant de celle-ci, et contient une anamnèse détaillée. L’expert a également relaté les plaintes de l’assurée, et ses diagnostics reposent sur un examen clinique poussé. Il a par ailleurs exposé de manière convaincante les motifs qui le conduisaient à s’écarter des diagnostics posés par le Pr D__________ et la Dresse J__________, et ses conclusions sont parfaitement claires. S’agissant du rapport de la Dresse J__________, il ne satisfait pas aux critères formels pour se voir reconnaître de valeur probante, puisqu’il ne contient pas d’anamnèse ni de status. De plus, comme le relève l’expert, les diagnostics que cette psychiatre a posés reposent sur les réponses données par la recourante à des questionnaires d’auto-évaluation et ne sont pas corrélés par des observations cliniques faites à l’occasion d’un examen. Quant au rapport du Dr I__________, médecin traitant, du 10 mars 2008, il n’est pas non plus conforme aux exigences de la jurisprudence permettant de reconnaître la valeur probante d’un rapport médical, les diagnostics posés ayant été infirmés par l’expert. Par ailleurs, il ne se prononce pas sur la capacité de travail de la recourante.</w:t>
      </w:r>
    </w:p>
    <w:p>
      <w:r>
        <w:t>A/2448/2011 - 15/17 - La Cour de céans ne s’écartera dès lors pas des conclusions du Dr K__________, selon lesquelles la recourante dispose d’une capacité de travail de 50 % au plan psychique dans son ancienne activité, et celle-ci ne les conteste d’ailleurs pas.</w:t>
      </w:r>
    </w:p>
    <w:p>
      <w:r>
        <w:rPr>
          <w:b/>
        </w:rPr>
        <w:t>E. 9</w:t>
      </w:r>
    </w:p>
    <w:p>
      <w:r>
        <w:t>La recourante fait en revanche grief à l’intimé de ne pas avoir retenu d’aggravation de son état de santé, alors que le Dr K__________ a conclu à une incapacité de travail de 50 % contrairement au Pr D__________ qui n’avait pas retenu de troubles psychiques ayant des répercussions sur sa capacité de travail. Cet argument tombe manifestement à faux, puisque l’intimé s'est rallié aux conclusions du Dr K__________ et a donc admis l'aggravation des troubles psychiques. Cependant, la recourante perd de vue que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l’espèce, dans la mesure où l’incapacité de gain due aux problèmes psychiques est identique à celle qui résulte de la pathologie somatique, la dégradation de l’état de santé de la recourante n’a pas d’incidence sur sa capacité de gain et, partant sur son degré d’invalidité. Les calculs de la recourante, qui affirme que son degré d’invalidité est de 18.5 %, ne peuvent en effet pas être suivis. A l’appui de ses calculs, elle affirme être totalement incapable de travailler trois mois par an, en sus de l’incapacité de travail continue de 50 %, et cite à cet égard le résumé par l’expert psychiatre du rapport du Dr A___________ du 15 juillet 2000. Or, les termes exacts de ce rapport ne permettent pas de conclure à la survenance régulière de périodes d’incapacité de travail totale, contrairement à ce que la recourante affirme, puisque ce dernier a attesté d’une incapacité de travail totale du 14 janvier au 1er mai 2000 uniquement. Les rapports médicaux versés au dossier par la suite ne permettent par ailleurs pas de conclure à une aggravation des problèmes physiques de la recourante. Dans son courrier du 20 février 2008, le Dr G__________ a ainsi expressément admis ne pas pouvoir se prononcer de manière claire sur les atteintes dont souffrait la recourante en raison du manque de collaboration de celle-ci. Quant au rapport du Dr F__________ du 3 août 2010, il ne mentionne pas de nouvelles atteintes à la santé, mais fait état de diagnostics somatiques présents depuis l’enfance. Ceux-ci ont cependant été pris en compte lors de l’évaluation de la capacité de travail de la recourante du point de vue physique, qui a abouti à l’octroi d’une demi-rente en 1992. Si ce médecin a certes indiqué que la capacité de travail de la recourante était nulle depuis le mois d’août 2000, cette conclusion n’est guère motivée et est contraire aux avis des médecins qui la traitaient à cette époque, soit les Drs A___________ et C__________. Il semble par ailleurs que le Dr F__________ ait admis qu’il existait une capacité de travail résiduelle lors de</w:t>
      </w:r>
    </w:p>
    <w:p>
      <w:r>
        <w:t>A/2448/2011 - 16/17 - son entretien avec l’expert. Les allégations de la recourante, selon lesquelles elle souffre d’une incapacité de travail totale trois mois par année ne sont ainsi nullement démontrées. Les épisodes réguliers de septicémie et les comas profonds qu’elle affirme avoir subis ne sont d'ailleurs pas documentés. Elle n'a en particulier produit aucun certificat d’hospitalisation, ce qui paraît pour le moins étonnant compte tenu de la gravité des atteintes invoquées. Le Dr B__________ a rapporté une seule septicémie et le Dr G__________ deux infections de ce type. Le Dr F__________ a certes mentionné plusieurs épisodes de septicémie dans ses rapports des 11 juin 2008 et 3 août 2010, sans plus de précision quant à leur nombre. On ignore de plus quand ils seraient survenus et leur durée, de sorte qu'on ne peut se fier à ces indications pour admettre une aggravation des troubles physiques de la recourante. On ajoutera à cet égard que le Dr F__________ a confié à l’expert que la recourante avait tendance à exagérer les symptômes et que le Dr K__________ a lui-même noté un décalage entre les descriptions des atteintes par le médecin traitant et celles de l'assurée. Compte tenu de ces éléments, la Cour de céans ne saurait retenir une diminution de la capacité de travail liée à une aggravation des problèmes physiques. Par ailleurs, l’expert psychiatre a retenu une incapacité de travail de 50 % pour troubles psychiques sans se référer à la capacité de travail d’ores et déjà diminuée par les atteintes somatiques. Contrairement à ce qu’allègue la recourante, cette réduction s’entend de manière absolue et ne se calcule pas sur le rendement déjà limité en raison des problèmes physiques. En effet, l'expert a expressément indiqué que la capacité de travail était stable depuis 2000, nonobstant l'aggravation des troubles psychiques survenue dans l'intervalle. Partant, s’il y a bien eu une dégradation de l'état de santé psychique depuis l’octroi pour des motifs somatiques de la demi- rente en 1992, c’est à juste titre que l’intimé a retenu que ses répercussions sur la capacité de travail se confondent avec celles qu’entraînent les affections pulmonaires de la recourante et ne modifient pas son droit à la rente.</w:t>
      </w:r>
    </w:p>
    <w:p>
      <w:r>
        <w:rPr>
          <w:b/>
        </w:rPr>
        <w:t>E. 10</w:t>
      </w:r>
    </w:p>
    <w:p>
      <w:r>
        <w:t>Manifestement mal fondé, le recours sera rejeté. L’émolument, fixé à 200 fr., est mis à la charge de la recourante, qui succombe (art. 69 al. 1bis LAI).</w:t>
      </w:r>
    </w:p>
    <w:p>
      <w:r>
        <w:t>A/2448/2011 - 17/17 -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