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ATAS/191/2011 vom 17. Februar 2011</w:t>
      </w:r>
    </w:p>
    <w:p>
      <w:r>
        <w:t>GE Cour de justice, 2011-02-17, FR</w:t>
      </w:r>
    </w:p>
    <w:p>
      <w:r>
        <w:rPr>
          <w:b/>
        </w:rPr>
        <w:t xml:space="preserve">Quelle: </w:t>
      </w:r>
      <w:r>
        <w:t>https://mcp.opencaselaw.ch/entscheid/ge_gerichte_ATAS_191_2011</w:t>
      </w:r>
    </w:p>
    <w:p>
      <w:r>
        <w:t>FR: GE_GERICHTE ATAS/191/2011 du 17 février 2011</w:t>
      </w:r>
    </w:p>
    <w:p>
      <w:r>
        <w:t>IT: GE_GERICHTE ATAS/191/2011 del 17 febbraio 2011</w:t>
      </w:r>
    </w:p>
    <w:p>
      <w:pPr>
        <w:pStyle w:val="Heading2"/>
      </w:pPr>
      <w:r>
        <w:t>Regeste</w:t>
      </w:r>
    </w:p>
    <w:p>
      <w:r>
        <w:t>Résumé: En matière de prestations complémentaires, les revenus déterminants comprennent notamment le produit de la fortune mobilière et immobilière (art. 11 al.1 let b LPC) et un quinzième de la fortune nette (let c). Lorsque, comme c'est le cas en l'espèce, un bien immobilier a été acquis par le bénéficiaire mais pour le compte d'une association et aux moyens des fonds versés par celle-ci, il ne peut être pris en compte dans le calcul des prestations. Peu importe à cet égard que le bénéficiaire des prestations soit inscrit comme propriétaire au registre foncier, s'il n'en dispose pas effectivement.</w:t>
      </w:r>
    </w:p>
    <w:p>
      <w:pPr>
        <w:pStyle w:val="Heading2"/>
      </w:pPr>
      <w:r>
        <w:t>Erwägungen</w:t>
      </w:r>
    </w:p>
    <w:p>
      <w:r>
        <w:rPr>
          <w:b/>
        </w:rPr>
        <w:t>E. 1</w:t>
      </w:r>
    </w:p>
    <w:p>
      <w:r>
        <w:t>Jusqu’au 31 décembre 2010,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Depuis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[LPCF]) auprès du tribunal des assurances du canton de domicile de l’assuré (art. 58 al. 1 LPGA). b) S’agissant des prestations complémentaire cantonales, l’art. 43 LPCC ouvre les mêmes voies de droit. c) En l’espèce, le recours a été déposé dans les forme et délai prévus par la loi, de sorte qu’il est recevable.</w:t>
      </w:r>
    </w:p>
    <w:p>
      <w:r>
        <w:t>A/2289/2010 - 8/14 -</w:t>
      </w:r>
    </w:p>
    <w:p>
      <w:r>
        <w:rPr>
          <w:b/>
        </w:rPr>
        <w:t>E. 3</w:t>
      </w:r>
    </w:p>
    <w:p>
      <w:r>
        <w:t>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ATF 126 V 136 consid. 4b et les références citées). Ce sont donc les dispositions matérielles en vigueur à la période pour laquelle le droit aux prestations complémentaires est examiné qui sont applicables. Les règles de procédure s’appliquent quant à elles sans réserve dès le jour de leur entrée en vigueur (ATF 129 V 113, consid. 2.2; ATF 117 V 71 consid. 6b). Il s'ensuit que la LPGA, entrée en vigueur le 1er janvier 2003, est applicable à la présente procédure.</w:t>
      </w:r>
    </w:p>
    <w:p>
      <w:r>
        <w:rPr>
          <w:b/>
        </w:rPr>
        <w:t>E. 4</w:t>
      </w:r>
    </w:p>
    <w:p>
      <w:r>
        <w:t>Le litige porte sur la question de savoir si les conditions permettant de réviser les décisions rendues par le SPC concernant le droit aux prestations complémentaires du recourant dès le 1er janvier 2002 sont remplies.</w:t>
      </w:r>
    </w:p>
    <w:p>
      <w:r>
        <w:rPr>
          <w:b/>
        </w:rPr>
        <w:t>E. 5</w:t>
      </w:r>
    </w:p>
    <w:p>
      <w:r>
        <w:t>Il sied en préambule d'examiner si la demande de révision du recourant auprès de l'intimé est intervenue dans les délais légaux. a) 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A teneur de cet article, l’administration est tenue de procéder à la révision d’une décision entrée en force formelle lorsque sont découverts des faits nouveaux ou de nouveaux moyens de preuve, susceptibles de conduire à une appréciation juridique différente. Aux termes de l'art. 55 al. 1 LPGA, les points de procédure qui ne sont pas réglés de manière exhaustive aux art. 27 à 54 LPGA ou par les dispositions des lois spéciales sont régis par la loi fédérale du 20 décembre 1968 sur la procédure administrative (PA; RS 172.021). Selon l'art. 67 al. 1 PA, la demande de révision doit être adressée par écrit à l'autorité qui a rendu la décision dans les 90 jours dès la découverte du motif de révision, mais au plus tard dans les dix ans dès la notification de la décision. La jurisprudence considère que les règles sur les délais prévues à l'art. 67 PA s'appliquent, en vertu de l'art. 55 al. 1 LPGA, à la révision procédurale d'une décision administrative selon l'art. 53 al. 1 LPGA (ATF U 561/06 du 28 mai 2007, consid. 4). La notion de faits ou moyens de preuve nouveaux s'apprécie de la même manière en cas de révision (procédurale) d'une décision administrative (art. 53 al. 1 LPGA) et de révision d'un jugement cantonal (art. 61 let. i LPGA) (ATF U 57/06 du</w:t>
      </w:r>
    </w:p>
    <w:p>
      <w:r>
        <w:rPr>
          <w:b/>
        </w:rPr>
        <w:t>E. 7</w:t>
      </w:r>
    </w:p>
    <w:p>
      <w:r>
        <w:t>En l'espèce, il y a d'abord lieu de déterminer si le recourant est ou non propriétaire des biens fonciers sis en Valais puis, dans l'affirmative, d'analyser les conséquences de la propriété de biens immobiliers sur le droit aux prestations complémentaires. a/aa) 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U 85/00 du 15 décembre 2000, consid. 1a; ATF 125 V 237, consid. 6a).</w:t>
      </w:r>
    </w:p>
    <w:p>
      <w:r>
        <w:t>A/2289/2010 - 11/14 - bb) En règle générale, la propriété foncière s'acquière moyennant inscription au registre foncier (cf. art. 656 al. 1 du code civil [CC; RS 210]). L'acquisition d'un immeuble suppose ainsi un titre d'acquisition (tel qu'un contrat de vente par exemple) et une opération d'acquisition, soit la réquisition au conservateur du registre foncier d'inscrire l'acquéreur comme nouveau propriétaire suivie de l'inscription proprement dite (cf. STEINAUER, Les droits réels, vol. II, 3ème éd., § 40 n. 1539). L'inscription est ainsi constitutive et nécessaire à l'acquisition de la propriété (cf. également art. 972 al. 1 CC). Une inscription ne produit toutefois d'effets que si elle repose sur un titre d'acquisition valable, conformément au principe de causalité ancré à l'art. 974 al. 2 CC (STEINAUER, op. cit., vol. I, § 12 n. 537). Conformément à l'art. 9 al. 1 CC, le registre foncier fait foi des faits qu'il constate et dont l'inexactitude n'est pas prouvée. cc) Dans le cas présent, contrairement à ce que soutient le recourant, les autorités pénales ne se sont pas formellement prononcées sur la propriété des biens immobiliers en Valais. Le Procureur général a en particulier expressément laissé la question ouverte dans son ordonnance de classement. Quant à la Chambre d'accusation, elle a surtout retenu que le recourant considérait que les biens appartenaient à l'association, écartant ainsi l'élément intentionnel nécessaire à la réalisation des infractions dont il était inculpé. Elle s'est ainsi fondée avant tout sur des critères d'ordre pénal, qui ne lient pas la Cour de céans. Il ressort des pièces que le recourant et feue son épouse ont signé avec les vendeurs des biens-fonds un contrat de vente en la forme authentique, dont l'exactitude n'est pas contestée, et qu'ils ont été inscrits en tant que propriétaires de ces biens au Registre foncier jusqu'à la réalisation de ces immeubles. Il est ainsi incontestable que, du point de vue des droits réels, le recourant était propriétaire - avec feue son épouse - des immeubles avant l'aliénation forcée de ces derniers. b) Quant à l'incidence de la qualité de propriétaire sur le droit aux prestations complémentaires du recourant, la Cour de céans retient ce qui suit. aa) Les prestations complémentaires sont destinées à fournir aux personnes les plus mal loties socialement un revenu minimum (Message du Conseil fédéral relatif à un projet de loi sur les prestations complémentaires à l'assurance-vieillesse, survivants et invalidité du 21 septembre 1964, FF 1964 II 706). L'esprit de cette assurance est que les personnes puisent d'abord dans leurs propres moyens avant que leur besoins courants ne soient pris en charge par les prestations complémentaires (ATF P 43/04 du 3 décembre 2004, consid. 3). Les personnes qui prétendent des prestations complémentaires doivent donc se laisser imputer une part de leur fortune et de leurs revenus dans le calcul des revenus déterminants, conformément aux dispositions légales citées ci-dessus.</w:t>
      </w:r>
    </w:p>
    <w:p>
      <w:r>
        <w:t>A/2289/2010 - 12/14 - L'origine des fonds constituant le capital de l'assuré qui demande une prestation complémentaire est sans importance s'agissant de leur prise en compte à titre de fortune au chapitre des revenus déterminants (Alexandra RUMO-JUNGO, Rechtsprechung des Bundesgerichts zum Sozialversicherungs-recht, Bundesgesetz über Ergänzungsleistungen zur Alters-, Hinterlassenen- und Invalidenversicherung, Zurich 1994, p. 22). Cependant, il n'y a lieu de tenir compte dans le cadre des revenus déterminants que des actifs que l'assuré a effectivement reçus et dont il peut disposer sans restriction (ATF 127 V 248, consid. 4a; ATF 122 V 19, consid. 5a et les références). Ne sont notamment pas pris en considération dans la fortune le mobilier du ménage courant, ainsi que les outils, les machines et les appareils servant à l'exercice d'une profession, les éléments de fortune grevés d'usufruit, les éléments de fortune se trouvant à l'étranger et ne pouvant être transférés en Suisse ou réalisés pour une raison quelconque, et enfin la fortune investie sur la base des dispositions de l'ordonnance du 13 novembre 1985 sur les déductions admises fiscalement pour les cotisations versées à des formes reconnues de prévoyance (Directives de l'Office fédéral des assurances sociales concernant les prestations complémentaires [DPC], ch. 2108; Urs MÜLLER, Bundesgesetz über Ergänzungsleistungen zur AHV/IV, in Murer/Stauffer [éd.], Rechtsprechung des Bundesgerichts zum Sozialversicherungsrecht, 2ème éd. 2006, p. 112, nn. 352-356). Comme le démontre la directive précitée, reprise par la doctrine, le seul critère de la propriété - au sens civil du terme - ne suffit pas pour qu'un bien soit retenu à titre de fortune dans les calculs du droit aux prestations complémentaires, sous réserve des cas de dessaisissement. Encore faut-il que la personne qui prétend des prestations complémentaires puisse librement disposer des biens dont elle est propriétaire pour assurer la couverture de ses besoins vitaux. bb) En l'espèce, il a été établi que le chalet et les parcelles ont été acquis au nom du recourant, mais pour le compte de l'association et aux moyens des fonds versés à celle-ci. Le recourant se trouvait ainsi dans la position d'un mandataire, gérant les affaires de l'association. Or, conformément aux dispositions légales régissant le contrat de mandat, le mandataire est tenu, à la demande du mandant, de rendre compte de sa gestion et de lui restituer tout ce qu'il a reçu de ce chef, à quelque titre que ce soit (art. 400 al. 1 du Code des obligations [CO; RS 220]). Ainsi, l'association était fondée à réclamer en tout temps au recourant qu'il lui transfère les actifs acquis en son nom. On ne peut dès lors considérer que ce dernier pouvait utiliser librement ces biens, notamment en les réalisant afin de pourvoir à son entretien grâce au produit de la vente, sans devoir faire appel aux prestations complémentaires. Conformément aux principes précités, il n'y a dès lors pas lieu d'en tenir compte à titre de fortune. Par ailleurs, l'argumentation de l'intimé selon laquelle la mise à disposition de l'association du chalet par le recourant sans contrepartie constituerait un dessaisissement tombe à faux. En effet, le dessaisissement implique que le</w:t>
      </w:r>
    </w:p>
    <w:p>
      <w:r>
        <w:t>A/2289/2010 - 13/14 - bénéficiaire de prestations complémentaires a volontairement renoncé à tout ou une partie de sa fortune. En l'espèce, les fonds ayant servi à l'acquisition des immeubles n'ont jamais fait partie de la fortune du recourant, mais lui ont seulement été confiés dans le cadre de son travail associatif, si bien qu'il n'y a pas lieu d'appliquer les dispositions légales applicables en cas de dessaisissement. Par surabondance, il ressort des considérants de l'ordonnance de la Chambre d'accusation que le recourant aurait même été exposé à des sanctions pénales s'il avait employé à son profit les valeurs confiées par l'association. Dans de telles circonstances, il serait tout simplement insoutenable d'admettre que le recourant, avant de bénéficier de prestations complémentaires, aurait dû puiser dans la fortune qui lui était confiée par l'association afin d'assurer sa subsistance alors qu'un tel comportement revêt une qualification pénale.</w:t>
      </w:r>
    </w:p>
    <w:p>
      <w:r>
        <w:rPr>
          <w:b/>
        </w:rPr>
        <w:t>E. 8</w:t>
      </w:r>
    </w:p>
    <w:p>
      <w:r>
        <w:t>Dès lors que les bien-fonds ne peuvent être pris en compte dans le calcul des prestations, c'est à tort que l'intimé a exigé la restitution des prestations complémentaires et subsides d'assurance-maladie versés au recourant du 1er janvier 2002 au 31 mai 2007 et nié le droit aux prestations à compter de cette date. Les décisions de l'intimé du 23 mai 2007, du 4 décembre 2009 et du 31 mai 2010 seront annulées et le dossier renvoyé à l'intimé pour calcul des prestations complémentaires dès le 1er juin 2007. L'intimé, qui obtient gain de cause, a droit à une indemnité de dépens qu'il convient d'arrêter à 1'500 fr. (art. 61 let. g LPGA). Pour le surplus, la procédure est gratuite (art. 61 lit. a LPGA).</w:t>
      </w:r>
    </w:p>
    <w:p>
      <w:r>
        <w:t>A/2289/2010 - 14/14 - PAR CES MOTIFS, LA CHAMBRE DES ASSURANCES SOCIALES : Statuant</w:t>
      </w:r>
    </w:p>
    <w:p>
      <w:r>
        <w:t>En l'application de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