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ATAS/191/2010 vom 25. Februar 2010</w:t>
      </w:r>
    </w:p>
    <w:p>
      <w:r>
        <w:t>GE Cour de justice, 2010-02-25, FR</w:t>
      </w:r>
    </w:p>
    <w:p>
      <w:r>
        <w:rPr>
          <w:b/>
        </w:rPr>
        <w:t xml:space="preserve">Quelle: </w:t>
      </w:r>
      <w:r>
        <w:t>https://mcp.opencaselaw.ch/entscheid/ge_gerichte_ATAS_191_2010</w:t>
      </w:r>
    </w:p>
    <w:p>
      <w:r>
        <w:t>FR: GE_GERICHTE ATAS/191/2010 du 25 février 2010</w:t>
      </w:r>
    </w:p>
    <w:p>
      <w:r>
        <w:t>IT: GE_GERICHTE ATAS/191/2010 del 25 febbraio 2010</w:t>
      </w:r>
    </w:p>
    <w:p>
      <w:pPr>
        <w:pStyle w:val="Heading2"/>
      </w:pPr>
      <w:r>
        <w:t>Erwägungen</w:t>
      </w:r>
    </w:p>
    <w:p>
      <w:r>
        <w:rPr>
          <w:b/>
        </w:rPr>
        <w:t>E. 1</w:t>
      </w:r>
    </w:p>
    <w:p>
      <w:r>
        <w:t>Conformément à l'art. 56V al. 1 let. a ch. 2 de la loi genevoise sur l'organisation judiciaire (LOJ; E 2 05), le Tribunal cantonal des assurances sociales connaît en instance unique des contestations prévues à l’art. 56 de la loi fédérale sur la partie générale du droit des assurances sociales du 6 octobre 2000 (LPGA; RS 830.1) relatives à la loi fédérale sur l’assurance-invalidité du 19 juin 1959 (LAI; RS 831.20). En dérogation aux art. 52 et 58 LPGA, les décisions des offices AI cantonaux peuvent directement faire l’objet d’un recours devant le tribunal des assurances du domicile de l’office concerné. La compétence du Tribunal de céans pour juger du cas d'espèce est ainsi établie.</w:t>
      </w:r>
    </w:p>
    <w:p>
      <w:r>
        <w:rPr>
          <w:b/>
        </w:rPr>
        <w:t>E. 2</w:t>
      </w:r>
    </w:p>
    <w:p>
      <w:r>
        <w:t>La LPGA, entrée en vigueur le 1er janvier 2003 a entraîné la modification de nombreuses dispositions légales dans le domaine de l'assurance-invalidité. Cela étant, les notions et les principes développés jusqu'alors par la jurisprudence en matière d’évaluation de l'invalidité n'ont pas été modifiés par l'entrée en vigueur de la LPGA (voir ATF 130 V 343). Par ailleurs, la loi fédérale du 16 décembre 2005 modifiant la loi fédérale sur l'assurance-invalidité est entrée en vigueur le 1er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1er juillet 2006 (ch. II let. c des dispositions transitoires relatives à la modification du 16 décembre 2005).</w:t>
      </w:r>
    </w:p>
    <w:p>
      <w:r>
        <w:rPr>
          <w:b/>
        </w:rPr>
        <w:t>E. 3</w:t>
      </w:r>
    </w:p>
    <w:p>
      <w:r>
        <w:t>Interjeté dans les forme et délai légaux (art. 56 à 60 LPGA), le recours est recevable.</w:t>
      </w:r>
    </w:p>
    <w:p>
      <w:r>
        <w:rPr>
          <w:b/>
        </w:rPr>
        <w:t>E. 4</w:t>
      </w:r>
    </w:p>
    <w:p>
      <w:r>
        <w:t>Est litigieuse en l’espèce la question de savoir si les atteintes à la santé de la recourante entraînent une perte de gain susceptible de lui ouvrir droit à des prestations de l’assurance-invalidité.</w:t>
      </w:r>
    </w:p>
    <w:p>
      <w:r>
        <w:rPr>
          <w:b/>
        </w:rPr>
        <w:t>E. 5</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l'assurée peut aussi relever d’une autre profession ou d’un autre domaine d’activité (art. 6 LPGA). Est réputée incapacité de gain toute diminution de l’ensemble ou d’une partie des possibilités de gain de l’assuré sur un marché du travail équilibré dans son domaine</w:t>
      </w:r>
    </w:p>
    <w:p>
      <w:r>
        <w:t>A/30/2010 - 5/7 - d’activité, si cette diminution résulte d’une atteinte à sa santé physique, mentale ou psychique et qu’elle persiste après les traitements et les mesures de réadaptation exigibles (art. 7 LPGA). Est réputée invalidité l’incapacité de gain totale ou partielle présumée permanente ou de longue durée (art. 8 al. 1 LPGA et 4 al. 1 LAI).</w:t>
      </w:r>
    </w:p>
    <w:p>
      <w:r>
        <w:rPr>
          <w:b/>
        </w:rPr>
        <w:t>E. 6</w:t>
      </w:r>
    </w:p>
    <w:p>
      <w:r>
        <w:t>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étant rappelé que l'obligation pour l'assuré de diminuer le dommage est un principe général du droit des assurances sociales (ATF 129 V 463 consid. 4.2, 123 V 233 consid. 3c, 117 V 278 consid. 2b, 400 et les arrêts cités). Dès lors,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w:t>
      </w:r>
    </w:p>
    <w:p>
      <w:r>
        <w:rPr>
          <w:b/>
        </w:rPr>
        <w:t>E. 7</w:t>
      </w:r>
    </w:p>
    <w:p>
      <w:r>
        <w:t>Pour qu’une invalidité soit reconnue, il est nécessaire, dans chaque cas, qu’un diagnostic médical pertinent soit posé par un spécialiste et que soit mise en évidence une diminution importante de la capacité de travail (et de gain; ATF 127 V 299). Ainsi, pour pouvoir calculer le degré d'invalidité, l'administration (ou le juge, s'il y a eu un recours) a besoin de documents que le médecin, éventuellement aussi d'autres spécialistes, doivent lui fournir. L’instruction des faits d'ordre médical se fonde sur le rapport du médecin traitant destiné à l'Office AI, les expertises de médecins indépendants de l'institution d'assurance, les examens pratiqués par les Centres d'observation médicale de l'AI (ATF 123 V 175), les expertises produites par une partie ainsi que les expertises</w:t>
      </w:r>
    </w:p>
    <w:p>
      <w:r>
        <w:t>A/30/2010 - 6/7 - médicales ordonnées par le juge de première ou de dernière instance (VSI 1997, p. 318 consid. 3b; Stéphane BLANC, La procédure administrative en assurance- 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w:t>
      </w:r>
    </w:p>
    <w:p>
      <w:r>
        <w:rPr>
          <w:b/>
        </w:rPr>
        <w:t>E. 8</w:t>
      </w:r>
    </w:p>
    <w:p>
      <w:r>
        <w:t>L’autorité administrative doit constater d’office les faits déterminants, c’est-à-dire toutes les circonstances dont dépend l’application des règles de droit (ATF 117 V 261 consid. 3 p. 263; T. LOCHER, Grundriss des Sozialversicherungsrecht, Bern 1994, t. 1, p. 438). Elle est ainsi tenue d’ordonner une instruction complémentaire lorsque les allégations des parties et les éléments ressortant du dossier requièrent une telle mesure, et qu’en particulier, elle doit mettre en œuvre une expertise lorsqu’il paraît nécessaire de clarifier des aspects médicaux (ATF 117 V 282 consid. 4a p. 283; RAMA 1985 p. 240 consid.4; LOCHER loc. cit.). De son côté, le juge qui considère que les faits ne sont pas suffisamment élucidés peut renvoyer la cause à l’administration pour complément d’instruction ou procéder lui-même à une telle instruction complémentaire (RAMA 1993 p. 136). En matière d’assurance-invalidité, la première solution est en principe préférée (ATFA I 431/02 du 8 novembre 2002).</w:t>
      </w:r>
    </w:p>
    <w:p>
      <w:r>
        <w:rPr>
          <w:b/>
        </w:rPr>
        <w:t>E. 9</w:t>
      </w:r>
    </w:p>
    <w:p>
      <w:r>
        <w:t>En l'espèce, il apparaît manifeste que des investigations médicales complémentaires sont nécessaires sur le plan pulmonaire, ainsi que l’on relevé tant la Dresse B___________ que la Dresse C___________, pour déterminer quelles sont les atteintes à la santé de l’assurée et leurs éventuelles répercussions sur sa capacité de travail. Des investigations supplémentaires ont été préconisées par le SMR et accueillies favorablement par la recourante. La cause n'étant, de l'avis du Tribunal de céans comme des parties, pas suffisamment instruite pour permettre de se déterminer en connaissance de cause, il convient d’admettre partiellement le recours et de renvoyer la cause à l’intimé pour instruction complémentaire puis nouvelle décision.</w:t>
      </w:r>
    </w:p>
    <w:p>
      <w:r>
        <w:rPr>
          <w:b/>
        </w:rPr>
        <w:t>E. 10</w:t>
      </w:r>
    </w:p>
    <w:p>
      <w:r>
        <w:t>Il est rappelé que le recourant qui obtient gain de cause a droit au remboursement de ses frais et dépens ainsi que de ceux de son mandataire. Or, tel est le cas en l’espèce dès lors qu’il est avéré que l’instruction du dossier nécessite d’être complétée.</w:t>
      </w:r>
    </w:p>
    <w:p>
      <w:r>
        <w:t>A/30/2010 - 7/7 -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