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ATAS/191/2009 vom 23. Februar 2009</w:t>
      </w:r>
    </w:p>
    <w:p>
      <w:r>
        <w:t>GE Cour de justice, 2009-02-23, FR</w:t>
      </w:r>
    </w:p>
    <w:p>
      <w:r>
        <w:rPr>
          <w:b/>
        </w:rPr>
        <w:t xml:space="preserve">Quelle: </w:t>
      </w:r>
      <w:r>
        <w:t>https://mcp.opencaselaw.ch/entscheid/ge_gerichte_ATAS_191_2009</w:t>
      </w:r>
    </w:p>
    <w:p>
      <w:r>
        <w:t>FR: GE_GERICHTE ATAS/191/2009 du 23 février 2009</w:t>
      </w:r>
    </w:p>
    <w:p>
      <w:r>
        <w:t>IT: GE_GERICHTE ATAS/191/2009 del 23 febbraio 2009</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w:t>
      </w:r>
    </w:p>
    <w:p>
      <w:r>
        <w:t>A/3146/2008 - 8/18 -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26 juillet 2004. La LPGA s’applique donc au cas d’espèce.</w:t>
      </w:r>
    </w:p>
    <w:p>
      <w:r>
        <w:rPr>
          <w:b/>
        </w:rPr>
        <w:t>E. 3</w:t>
      </w:r>
    </w:p>
    <w:p>
      <w:r>
        <w:t>Le 1er juillet 2006, sont entrées en vigueur les nouvelles dispositions relatives aux mesures de simplification de la procédure dans l'assurance-invalidité, adoptées le 16 décembre 2005. Celles-ci ont eu, notamment, pour effet de remplacer la procédure de l'opposition par la procédure de préavis (art. 57a alinéa 1 LAI), en rétablissant ainsi la situation antérieure à l'introduction de la LPGA (cf. message du Conseil fédéral du 4 mai 2005, FF 2005, p. 2899 et ss). L'art. 69 al. 1 LAI, dans sa nouvelle teneur, prévoit que les décisions des offices AI cantonaux peuvent faire directement l'objet d'un recours devant le tribunal des assurances du canton de l'office qui a rendu la décision. b) En l'espèce, l'OCAI a communiqué à l'assuré un projet de décision en date du 20 novembre 2007, qui a été confirmé par la décision du 3 juillet 2008, contre laquelle l'assuré a interjeté directement recours devant le Tribunal de céans le 2 septembre 2008. c) Interjeté dans les forme et délai prévus par la loi, devant l'autorité compétente, le recours est en conséquence recevable (art. 56 ss LPGA).</w:t>
      </w:r>
    </w:p>
    <w:p>
      <w:r>
        <w:rPr>
          <w:b/>
        </w:rPr>
        <w:t>E. 4</w:t>
      </w:r>
    </w:p>
    <w:p>
      <w:r>
        <w:t>L'objet du litige porte sur le droit du recourant à une rente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a) Depuis l'entrée en vigueur, le 1er janvier 2004, de la novelle du 21 mars 2003 modifiant la LAI (4ème révision) la teneur de l'art. 28 al. 1 LAI est la suivante : «1.</w:t>
      </w:r>
    </w:p>
    <w:p>
      <w:r>
        <w:t>A/3146/2008 - 9/18 - L'assuré a droit à une rente s'il est invalide à 40 % au moins. La rente est échelonnée comme suit, selon le taux d'invalidité : 40 % au moins un quart, 50 % au moins une demie, 60 % au moins trois-quarts, 70 % au moins rente entière.». Selon la lettre f des dispositions finales de la modification du 21 mars 2003, les rentes entières en cours perçues au titre d'un taux d'invalidité égal ou supérieur à 662/3 % continuent d'être versées, après l'entrée en vigueur des nouvelles dispositions légales, à tous les rentiers qui, à ce moment là, ont atteint l'âge de 50 ans. Toutes les autres rentes entières perçues au titre d'une invalidité inférieure à 70 % font l'objet d'une révision dans le délai d'un an dès l'entrée en vigueur des nouvelles dispositions.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L’existence d’une incapacité de gain durable (art. 29 al. 1 let. a LAI) doit être admise lorsque l’atteinte à la santé est largement stabilisée et essentiellement irréversible et qu’elle affectera, selon toute vraisemblance, durablement la capacité de gain de l’assuré dans une mesure suffisamment grave pour justifier l’octroi d’une rente (art. 29 du règlement sur l'assurance-invalidité du 17 janvier 1961 - RAI). Une atteinte originellement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 VSI 1999 p. 81 consid. 1a).</w:t>
      </w:r>
    </w:p>
    <w:p>
      <w:r>
        <w:rPr>
          <w:b/>
        </w:rPr>
        <w:t>E. 7</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w:t>
      </w:r>
    </w:p>
    <w:p>
      <w:r>
        <w:t>A/3146/2008 - 10/18 -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w:t>
      </w:r>
    </w:p>
    <w:p>
      <w:r>
        <w:t>A/3146/2008 - 11/18 -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t>A/3146/2008 - 12/18 -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9</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w:t>
      </w:r>
    </w:p>
    <w:p>
      <w:r>
        <w:t>A/3146/2008 - 13/18 -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10</w:t>
      </w:r>
    </w:p>
    <w:p>
      <w:r>
        <w:t>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w:t>
      </w:r>
    </w:p>
    <w:p>
      <w:r>
        <w:t>A/3146/2008 - 14/18 -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w:t>
      </w:r>
    </w:p>
    <w:p>
      <w:r>
        <w:t>A/3146/2008 - 15/18 -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11</w:t>
      </w:r>
    </w:p>
    <w:p>
      <w:r>
        <w:t>En l'espèce, le rapport du SMR du 26 février 2007, fondé sur l'examen du recourant du 30 novembre 2006, n'est pas entièrement convaincant dès lors qu'il écarte tout diagnostic psychiatrique et ne retient, en particulier, aucun signe d'anxiété au de dépression ni de syndrome douloureux somatoforme mais uniquement des difficultés liées à l'acculturation, alors même que plusieurs rapports médicaux émanant notamment de spécialiste en psychiatrie ont attesté la présence de diagnostics psychiatriques, en particulier un trouble dépressif récurrent et un syndrome douloureux somatoforme (avis du centre de psychologie clinique du 19 septembre 2006, du Dr N__________ du 29 novembre 2004, de la Dresse Q__________ des 26 septembre 2005 et 18 janvier 2008, du Dr T__________ du 21 décembre 2006, du CEMed du 26 février 2007 et de la Dresse V__________ des 4 février, 29 mai et 29 septembre 2008). A cet égard, la Dresse W__________, dans son avis du 1er juillet 2008, a confirmé l'examen du SMR du 30 novembre 2006 tout en semblant accepter la présence d'un diagnostic psychiatrique puisqu'elle évalue le caractère invalidant du trouble somatoforme indifférencié. Compte tenu de ce qui précède, il convient d'ordonner une expertise psychiatrique afin de préciser les éventuels diagnostics psychiatriques présentés par le recourant ainsi que leur impact sur la capacité de travail de ce dernier.</w:t>
      </w:r>
    </w:p>
    <w:p>
      <w:r>
        <w:rPr>
          <w:b/>
        </w:rPr>
        <w:t>E. 12</w:t>
      </w:r>
    </w:p>
    <w:p>
      <w:r>
        <w:t>Cette expertise sera confiée au Dr C__________, médecin spécialiste en psychiatrie et psychothérapie, à LAUSANNE.</w:t>
      </w:r>
    </w:p>
    <w:p>
      <w:r>
        <w:t>A/3146/2008 - 16/18 -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