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ATAS/190/2019 vom 19. Juni 2018</w:t>
      </w:r>
    </w:p>
    <w:p>
      <w:r>
        <w:t>GE Cour de justice, 2018-06-19, FR</w:t>
      </w:r>
    </w:p>
    <w:p>
      <w:r>
        <w:rPr>
          <w:b/>
        </w:rPr>
        <w:t xml:space="preserve">Quelle: </w:t>
      </w:r>
      <w:r>
        <w:t>https://mcp.opencaselaw.ch/entscheid/ge_gerichte_ATAS_190_2019</w:t>
      </w:r>
    </w:p>
    <w:p>
      <w:r>
        <w:t>FR: GE_GERICHTE ATAS/190/2019 du 19 juin 2018</w:t>
      </w:r>
    </w:p>
    <w:p>
      <w:r>
        <w:t>IT: GE_GERICHTE ATAS/190/2019 del 19 giugno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A/4599/2018 - 4/7 -</w:t>
      </w:r>
    </w:p>
    <w:p>
      <w:r>
        <w:rPr>
          <w:b/>
        </w:rPr>
        <w:t>E. 3</w:t>
      </w:r>
    </w:p>
    <w:p>
      <w:r>
        <w:t>Interjeté dans la forme et le délai prévus par la loi, le recours est recevable (art. 56 et 60 de la loi fédérale sur la partie générale du droit des assurances sociales du</w:t>
      </w:r>
    </w:p>
    <w:p>
      <w:r>
        <w:rPr>
          <w:b/>
        </w:rPr>
        <w:t>E. 6</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rPr>
          <w:b/>
        </w:rPr>
        <w:t>E. 7</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w:t>
      </w:r>
    </w:p>
    <w:p>
      <w:r>
        <w:t>A/4599/2018 - 6/7 -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8</w:t>
      </w:r>
    </w:p>
    <w:p>
      <w:r>
        <w:t>En l’espèce, en requérant la restitution de l’effet suspensif à son recours, l’intéressée conclut à l’octroi des prestations complémentaires fédérales et cantonales qui lui étaient allouées jusqu’à la décision du 19 juin 2018, soit un montant mensuel de CHF 2'222.- (CHF 1'104 + CHF 1'118), ce qui impliquerait qu’aucune indemnité de l’assurance-chômage ne soit prise en considération pour le calcul des prestations dues. Or, les mesures provisionnelles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Restituer l’effet suspensif reviendrait en l’espèce à statuer sur le fond. En outre, ainsi que le relève le SPC dans sa réponse du 19 février 2019, les indemnités de chômage pourraient se voir remplacées par un revenu hypothétique au sens de l’art. 11 al. 1 let. g LPC.</w:t>
      </w:r>
    </w:p>
    <w:p>
      <w:r>
        <w:rPr>
          <w:b/>
        </w:rPr>
        <w:t>E. 9</w:t>
      </w:r>
    </w:p>
    <w:p>
      <w:r>
        <w:t>Il n’apparaît pas en l’état, à un degré de probabilité suffisant, que l’intéressée obtiendra gain de cause, pour qu’au stade actuel de la procédure, l’effet suspensif doive être restitué. Quoi qu’il en soit, en pareilles circonstances, l’intérêt de l’administration apparaît généralement prépondérant (ATF 119 V 207 ; 105 V 269). Si le recourant n’obtient pas gain de cause, il est en effet à craindre que la procédure en restitution des prestations versées à tort ne se révèle infructueuse.</w:t>
      </w:r>
    </w:p>
    <w:p>
      <w:r>
        <w:rPr>
          <w:b/>
        </w:rPr>
        <w:t>E. 10</w:t>
      </w:r>
    </w:p>
    <w:p>
      <w:r>
        <w:t>Il ne se justifie dès lors pas de rétablir l’effet suspensif, étant rappelé qu’il est en revanche acquis s’agissant de l’obligation de restituer la somme de CHF 14'740.-.</w:t>
      </w:r>
    </w:p>
    <w:p>
      <w:r>
        <w:t>A/4599/2018 - 7/7 -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