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ATAS/190/2016 vom 8. März 2016</w:t>
      </w:r>
    </w:p>
    <w:p>
      <w:r>
        <w:t>GE Cour de justice, 2016-03-08, FR</w:t>
      </w:r>
    </w:p>
    <w:p>
      <w:r>
        <w:rPr>
          <w:b/>
        </w:rPr>
        <w:t xml:space="preserve">Quelle: </w:t>
      </w:r>
      <w:r>
        <w:t>https://mcp.opencaselaw.ch/entscheid/ge_gerichte_ATAS_190_2016</w:t>
      </w:r>
    </w:p>
    <w:p>
      <w:r>
        <w:t>FR: GE_GERICHTE ATAS/190/2016 du 8 mars 2016</w:t>
      </w:r>
    </w:p>
    <w:p>
      <w:r>
        <w:t>IT: GE_GERICHTE ATAS/190/2016 del 8 marzo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A/4384/2015 - 3/7 -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w:t>
      </w:r>
    </w:p>
    <w:p>
      <w:r>
        <w:rPr>
          <w:b/>
        </w:rPr>
        <w:t>E. 3</w:t>
      </w:r>
    </w:p>
    <w:p>
      <w:r>
        <w:t>Déposé dans les forme et délai prévus par la loi, le présent recours est recevable (art. 60 LPGA).</w:t>
      </w:r>
    </w:p>
    <w:p>
      <w:r>
        <w:rPr>
          <w:b/>
        </w:rPr>
        <w:t>E. 4</w:t>
      </w:r>
    </w:p>
    <w:p>
      <w:r>
        <w:t>L’objet du litige consiste à déterminer si l’ORP était fondé à prononcer une suspension de huit jours du droit à l’indemnité de l'assuré, pour absence à l'entretien fixé le 13 août 2015.</w:t>
      </w:r>
    </w:p>
    <w:p>
      <w:r>
        <w:rPr>
          <w:b/>
        </w:rPr>
        <w:t>E. 5</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w:t>
      </w:r>
    </w:p>
    <w:p>
      <w:r>
        <w:rPr>
          <w:b/>
        </w:rPr>
        <w:t>E. 6</w:t>
      </w:r>
    </w:p>
    <w:p>
      <w:r>
        <w:t>Selon l’art. 17 al. 3 let. b LACI, l’assuré qui prétend à des indemnités a l'obligation, lorsque l'autorité compétente le lui enjoint, de participer aux entretiens de conseil, à des réunions d’information et aux consultations spécialisées.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w:t>
      </w:r>
    </w:p>
    <w:p>
      <w:r>
        <w:t>A/4384/2015 - 4/7 -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w:t>
      </w:r>
    </w:p>
    <w:p>
      <w:r>
        <w:rPr>
          <w:b/>
        </w:rPr>
        <w:t>E. 9</w:t>
      </w:r>
    </w:p>
    <w:p>
      <w:r>
        <w:t>En l’espèce, il n’est pas contesté que l'assuré ne s’est pas présenté à l’entretien du</w:t>
      </w:r>
    </w:p>
    <w:p>
      <w:r>
        <w:rPr>
          <w:b/>
        </w:rPr>
        <w:t>E. 13</w:t>
      </w:r>
    </w:p>
    <w:p>
      <w:r>
        <w:t>En l’espèce, l’ORP a retenu la durée la plus sévère de la fourchette applicable en cas de premier manquement du même type. Force est de constater qu'il ne peut être reproché à l’ORP d’avoir excédé son pouvoir d’appréciation, étant rappelé que l’assuré a déjà failli à ses obligations à l’égard de l’assurance-chômage durant les derniers douze mois. La sanction prononcée par l'ORP dans le cas d'espèce respecte les principes de proportionnalité et d’égalité de traitement. Aussi le recours ne peut-il être que rejeté.</w:t>
      </w:r>
    </w:p>
    <w:p>
      <w:r>
        <w:t>A/4384/2015 - 7/7 -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