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ATAS/190/2015 vom 11. März 2015</w:t>
      </w:r>
    </w:p>
    <w:p>
      <w:r>
        <w:t>GE Cour de justice, 2015-03-11, FR</w:t>
      </w:r>
    </w:p>
    <w:p>
      <w:r>
        <w:rPr>
          <w:b/>
        </w:rPr>
        <w:t xml:space="preserve">Quelle: </w:t>
      </w:r>
      <w:r>
        <w:t>https://mcp.opencaselaw.ch/entscheid/ge_gerichte_ATAS_190_2015</w:t>
      </w:r>
    </w:p>
    <w:p>
      <w:r>
        <w:t>FR: GE_GERICHTE ATAS/190/2015 du 11 mars 2015</w:t>
      </w:r>
    </w:p>
    <w:p>
      <w:r>
        <w:t>IT: GE_GERICHTE ATAS/190/2015 del 11 marzo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A/965/2013 - 10/15 -</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2007. Par conséquent, le droit éventuel aux prestations doit être examiné au regard des dispositions de la LPGA et des dispositions de la LAI consécutives à la 4ème révision de cette loi, puis en fonction des modifications consécutives aux révisions 5 et 6a de cette loi, dans la mesure de leur pertinence (ATF 130 V 445 et les références, voir également ATF 130 V 329) (ATF 130 V 445 et les références; voir également ATF 130 V 329).</w:t>
      </w:r>
    </w:p>
    <w:p>
      <w:r>
        <w:rPr>
          <w:b/>
        </w:rPr>
        <w:t>E. 4</w:t>
      </w:r>
    </w:p>
    <w:p>
      <w:r>
        <w:t>Le délai de recours est de 30 jours. Interjeté dans la forme et le délai prévus par la loi, le recours est recevable (art. 56 à 61 LPGA).</w:t>
      </w:r>
    </w:p>
    <w:p>
      <w:r>
        <w:rPr>
          <w:b/>
        </w:rPr>
        <w:t>E. 5</w:t>
      </w:r>
    </w:p>
    <w:p>
      <w:r>
        <w:t>Le litige porte sur le droit de la recourante à une rente d’invalidité, singulièrement sur sa capacité de travail.</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A/965/2013 - 11/15 -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l’assuré n'a droit à l'intégralité des prestations que s’il a présenté sa demande dans le délai de six mois à partir de la survenance de l'incapacité de gain. Si il le fait plus tard, il perd son droit pour chaque mois de retard (Arrêt du Tribunal fédéral 9C_432/2012 du 31 août 2012 consid. 3.3 ; Michel VALTERIO, op. cit., n°2187 ss).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A/965/2013 - 12/15 -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w:t>
      </w:r>
    </w:p>
    <w:p>
      <w:r>
        <w:t>A/965/2013 - 13/15 -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l’intimé soutient que la recourante n’a droit à aucune prestation de l’assurance-invalidité. Il se prévaut des expertises de la PMU et du CEMed, lesquelles concluent l’une et l’autre à une capacité de travail entière dans l’activité habituelle et toute activité adaptée aux limitations fonctionnelles, sous réserve d’incapacités de travail transitoires. Pour sa part, la recourante estime qu’elle a droit à une rente entière d’invalidité. Elle se réfère aux rapports du Dr D______, lesquels attestent d’une incapacité de travail totale dans toute activité. Elle fait valoir que l’expertise du CEMed ne bénéficie d’aucune valeur probante et conteste le rapport de la PMU en tant qu’il s’écarte de l’appréciation du Dr D______. b. Afin de se prononcer sur la capacité de travail, il convient d’examiner la valeur probante des expertises de la PMU, du CEMed, et des rapports des Drs D______ et B______. Pour les motifs exposés dans l'ordonnance d’expertise (ATAS 522/2014 du 23 avril 2014, consid. 8), on peut douter de la force probante du rapport du CEMed, de sorte qu’il n’y a pas lieu de se fonder sur celui-ci. S’agissant de l’expertise judiciaire de la PMU, la chambre de céans constate que la recourante a été examinée par les Drs H_____, I_____ et J_____, spécialistes FMH en médecine interne, rhumatologie et psychiatrie, lesquels disposent de toutes les qualifications requises pour se prononcer sur les affections en cause. Leur rapport est fondé sur une anamnèse détaillée effectuée en connaissance du dossier médical, sur les plaintes de l’assurée et sur des examens cliniques complets. Il discute de manière approfondie les points importants, en particulier les diagnostics et leurs répercussions éventuelles sur la capacité de travail. Les conclusions communes des experts, selon lesquelles la recourante dispose d’une capacité de travail entière dans</w:t>
      </w:r>
    </w:p>
    <w:p>
      <w:r>
        <w:t>A/965/2013 - 14/15 - son activité habituelle et toute activité légère, sous réserve d’incapacités transitoires, sont claires et dépourvues de contradictions. Elles sont également motivées, puisqu’elles tiennent compte de l’absence de diagnostics incapacitants, des limitations fonctionnelles et de quelques brèves incapacités de travail consécutives à des douleurs d’épaules, des lithiases vésiculaires et des exacerbations de l’état dépressif. Les experts ont de surcroît exposé les raisons pour lesquelles ils s’écartaient des conclusions des médecins traitants. Partant, une pleine valeur probante doit être reconnue au rapport d’expertise de la PMU. Les rapports divergents des médecins traitants ne permettent pas de s’écarter des conclusions de l’expertise judiciaire, dès lors qu’ils sont peu motivés et ne font pas état de contradictions ou d’éléments dont les experts n’auraient pas tenu compte. Il sied également de tenir compte du fait que, selon l'expérience, le médecin traitant est généralement enclin, en cas de doute, à prendre parti pour son patient en raison de la relation de confiance qui l'unit à ce dernier (ATF 125 V 351 consid. 3b/cc). L’argumentation de la recourante, dirigée exclusivement contre l’expertise du CEMed, ne met pas non plus en exergue d’éventuelles lacunes ou contradictions dans le rapport d’expertise de la PMU. On relèvera au surplus que si l’assurée ne s’estime plus capable d’exercer son activité habituelle, elle n’exclut pas l’exercice d’une activité adaptée, puisqu'elle a déclaré à l’expert psychiatre de la PMU qu'une activité d'accompagnatrice lui paraissait envisageable (cf. rapport d'expertise du 26 août 2014, p. 18). Pour les motifs qui précèdent, les conclusions du rapport d’expertise judiciaire emportent la conviction de la chambre de céans, de sorte que celle-ci retiendra, au degré de la vraisemblance prépondérante, que la recourante présente, en tout cas depuis 2007, une pleine capacité de travail dans son activité habituelle et dans toute activité légère compatible avec ses limitations, sous réserve d’incapacités de travail transitoires n'excédant pas deux à trois mois. Comme la recourante n’a jamais présenté une incapacité de travail d’au moins 40% en moyenne durant une année, sans interruption notable, elle n’a pas droit à une rente d’invalidité (art. 28 al. 1 LAI). La recourante ne conteste pas, à juste titre, le refus de l’intimé de lui accorder des mesures d’ordre professionnel.</w:t>
      </w:r>
    </w:p>
    <w:p>
      <w:r>
        <w:rPr>
          <w:b/>
        </w:rPr>
        <w:t>E. 10</w:t>
      </w:r>
    </w:p>
    <w:p>
      <w:r>
        <w:t>Mal fondé, le recours doit être rejeté. La recourante, qui succombe, n’a pas droit à une indemnité de dépens (art. 61 let. g LPGA ; arrêt du Tribunal fédéral 9C_193/2013 du 22 juillet 2013, consid. 3.2.1). La procédure n’étant pas gratuite (art. 69 al. 1bis LAI), il y a lieu de condamner cette dernière au paiement d'un émolument de CHF 200.-.</w:t>
      </w:r>
    </w:p>
    <w:p>
      <w:r>
        <w:t>A/965/2013 - 15/15 -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