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ATAS/190/2011 vom 17. Februar 2011</w:t>
      </w:r>
    </w:p>
    <w:p>
      <w:r>
        <w:t>GE Cour de justice, 2011-02-17, FR</w:t>
      </w:r>
    </w:p>
    <w:p>
      <w:r>
        <w:rPr>
          <w:b/>
        </w:rPr>
        <w:t xml:space="preserve">Quelle: </w:t>
      </w:r>
      <w:r>
        <w:t>https://mcp.opencaselaw.ch/entscheid/ge_gerichte_ATAS_190_2011</w:t>
      </w:r>
    </w:p>
    <w:p>
      <w:r>
        <w:t>FR: GE_GERICHTE ATAS/190/2011 du 17 février 2011</w:t>
      </w:r>
    </w:p>
    <w:p>
      <w:r>
        <w:t>IT: GE_GERICHTE ATAS/190/2011 del 17 febbraio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Le recours, interjeté dans les forme et délai prévus par la loi (art. 56 à 60 LPGA), est recevable.</w:t>
      </w:r>
    </w:p>
    <w:p>
      <w:r>
        <w:rPr>
          <w:b/>
        </w:rPr>
        <w:t>E. 3</w:t>
      </w:r>
    </w:p>
    <w:p>
      <w:r>
        <w:t>Le litige porte sur la suspension des indemnités de chômage du recourant pour une durée de 31 jours, pour non-respect d’une assignation d’emploi.</w:t>
      </w:r>
    </w:p>
    <w:p>
      <w:r>
        <w:rPr>
          <w:b/>
        </w:rPr>
        <w:t>E. 4</w:t>
      </w:r>
    </w:p>
    <w:p>
      <w:r>
        <w:t>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de la loi fédérale sur l’assurance-chômage obligatoire et l’indemnité en cas d’insolvabilité du 25 juin 1982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 Jurisprudence et doctrine s’accordent à dire qu’une telle mesure constitue une manière appropriée et adéquate de faire participer l’assuré au dommage qu’il cause à l’assurance-chômage par une attitude contraire à ses obligations (ATF 125 V 199</w:t>
      </w:r>
    </w:p>
    <w:p>
      <w:r>
        <w:t>A/3924/2010 - 5/7 - consid. 6a ; 124 V 227 consid. 2b ; 122 V 40 consid. 4c/aa et 44 consid. 3c/aa ; RIEMER-KAFKA, Die Pflicht zur Selbstverantwortung, p. 461, GERHARDS, Kommentar zum AVIG, tome 1, ad. Art. 30).</w:t>
      </w:r>
    </w:p>
    <w:p>
      <w:r>
        <w:rPr>
          <w:b/>
        </w:rPr>
        <w:t>E. 5</w:t>
      </w:r>
    </w:p>
    <w:p>
      <w:r>
        <w:t>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 verwaltungsrecht [SBVR], Soziale Sicherheit, ch. 704). Ainsi, afin de ne pas compromettre la possibilité de mettre un terme à son chômage, l'assuré doit, lors des pourparlers avec l'employeur futur, manifester clairement qu'il est disposé à passer un contrat (DTA 1984 no 14 p. 167).</w:t>
      </w:r>
    </w:p>
    <w:p>
      <w:r>
        <w:rPr>
          <w:b/>
        </w:rPr>
        <w:t>E. 6</w:t>
      </w:r>
    </w:p>
    <w:p>
      <w:r>
        <w:t>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L’art. 45 al. 3 OACI dispose qu’il y a faute grave lorsque l’assuré abandonne un emploi réputé convenable sans être assuré d’obtenir un nouvel emploi ou lorsqu’il refuse un emploi réputé convenable sans motif valable. Le Tribunal fédéral des assurances a jugé que l'art. 45 al. 3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w:t>
      </w:r>
    </w:p>
    <w:p>
      <w:r>
        <w:rPr>
          <w:b/>
        </w:rPr>
        <w:t>E. 9</w:t>
      </w:r>
    </w:p>
    <w:p>
      <w:r>
        <w:t>novembre 1998) Ultérieurement, dans un arrêt DTA 2000 n° 8 p. 42, il a toutefois laissé la question ouverte de savoir si, en cas d'un refus de travail convenable au sens de l'art. 30 al. 1 let. d LACI, l'administration et le juge des assurances pouvaient s'écarter de la règle posée par l'art. 45 al. 3 OACI lorsque des circonstances particulières le justifiaient (eu égard, notamment, au type d'activité proposé, au salaire offert ou à l'horaire de travail), et fixer une suspension d'une durée inférieure au minimum prévu de 31 jours (cf. également arrêt B. du 15 février 1999 = DTA 2000 no 8 p. 42 ; C 207/02 du 22 octobre 2002 consid. 3.2). 7. En l’espèce, il n’est pas contesté que le recourant a renoncé à déposer sa candidature au poste qui lui avait été assigné par son conseiller.</w:t>
      </w:r>
    </w:p>
    <w:p>
      <w:r>
        <w:t>A/3924/2010 - 6/7 - Les raisons invoquées sont claires : il ne pensait pas correspondre au profil recherché, avant tout en raison du fait qu'il n'avait pas le niveau d'anglais requis. Il est vrai que si on lit la description du poste faisant l'objet de l'assignation, force est de constater que le recourant semble loin de correspondre aux attentes de l'employeur, ce qui arrive malheureusement assez souvent et contribue à faire perdre leur crédibilité aux candidats. Néanmoins, même s'il apparait douteux qu'une prise de contact débouche sur une offre d'emploi, il ne fait en revanche aucun doute qu'en s'abstenant totalement de contacter l'employeur, l'assuré a réduit ses chances à néant. Même s'il doutait de ses chances, l'assuré aurait dû s'en ouvrir à son conseiller ou contacter directement l'employeur pour obtenir confirmation de ce qu'il subodorait. Au lieu de cela, il a, par son inaction, compromis définitivement toutes ses chances, fussent-elles faibles. L'inaction du recourant est d'autant moins excusable qu'il avait par ailleurs dûment été informé des conséquences du non-respect de l'assignation : celles-ci figuraient de manière non équivoque sur le document qui lui a été remis et dont il lui incombait de prendre connaissance. Enfin, s'il est vrai que l'on ne saurait nier les efforts du recourant pour retrouver un emploi, il convient de relever que l'assignation lui a été remise en juin 2010 et qu'à ce moment-là, il était sans activité lucrative et l'est resté jusqu'au 21 septembre 2010. En ne laissant aucune chance à l'hôtel de l'engager pour le début de l'été, le recourant a donc bel et bien contribué à la non-diminution du dommage. A cet égard, on relèvera encore que le poste dont il était question était de durée indéterminée. Dès lors, la suspension du droit à l’indemnité prononcée par l’autorité intimée ne peut qu'être confirmée.</w:t>
      </w:r>
    </w:p>
    <w:p>
      <w:r>
        <w:t>A/3924/2010 - 7/7 -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