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ATAS/18/2020 vom 14. Januar 2020</w:t>
      </w:r>
    </w:p>
    <w:p>
      <w:r>
        <w:t>GE Cour de justice, 2020-01-14, FR</w:t>
      </w:r>
    </w:p>
    <w:p>
      <w:r>
        <w:rPr>
          <w:b/>
        </w:rPr>
        <w:t xml:space="preserve">Quelle: </w:t>
      </w:r>
      <w:r>
        <w:t>https://mcp.opencaselaw.ch/entscheid/ge_gerichte_ATAS_18_2020</w:t>
      </w:r>
    </w:p>
    <w:p>
      <w:r>
        <w:t>FR: GE_GERICHTE ATAS/18/2020 du 14 janvier 2020</w:t>
      </w:r>
    </w:p>
    <w:p>
      <w:r>
        <w:t>IT: GE_GERICHTE ATAS/18/2020 del 14 gennaio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w:t>
      </w:r>
    </w:p>
    <w:p>
      <w:r>
        <w:rPr>
          <w:b/>
        </w:rPr>
        <w:t>E. 2</w:t>
      </w:r>
    </w:p>
    <w:p>
      <w:r>
        <w:t>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 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w:t>
      </w:r>
    </w:p>
    <w:p>
      <w:r>
        <w:t>A/4431/2019 - 4/5 - Si l'employeur affilié à une caisse de compensation cantonale a déplacé son siège dans un autre canton avant la faillite, le tribunal cantonal au lieu du nouveau siège est compétent (Jean Métral, op. cit. et les références citées).</w:t>
      </w:r>
    </w:p>
    <w:p>
      <w:r>
        <w:rPr>
          <w:b/>
        </w:rPr>
        <w:t>E. 3</w:t>
      </w:r>
    </w:p>
    <w:p>
      <w:r>
        <w:t>En l’espèce, la société a transféré son siège dans le canton de Vaud en octobre 2014, de sorte que la chambre de céans n’est pas, au vu de ce qui précède, compétente pour statuer sur le recours interjeté par Monsieur A______.</w:t>
      </w:r>
    </w:p>
    <w:p>
      <w:r>
        <w:rPr>
          <w:b/>
        </w:rPr>
        <w:t>E. 4</w:t>
      </w:r>
    </w:p>
    <w:p>
      <w:r>
        <w:t>Le recours doit dès lors être déclaré irrecevable pour défaut de compétence ratione loci de la chambre de céans.</w:t>
      </w:r>
    </w:p>
    <w:p>
      <w:r>
        <w:rPr>
          <w:b/>
        </w:rPr>
        <w:t>E. 5</w:t>
      </w:r>
    </w:p>
    <w:p>
      <w:r>
        <w:t>Il revient au tribunal qui décline sa compétence de transmettre sans délai l'acte de recours et ses annexes au tribunal compétent (art. 58 al. 3 LPGA), soit en l'occurrence, la Cour des assurances sociales du Tribunal cantonal de Lausanne.</w:t>
      </w:r>
    </w:p>
    <w:p>
      <w:r>
        <w:t>A/4431/2019 - 5/5 -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