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ATAS/18/2017 vom 17. Januar 2017</w:t>
      </w:r>
    </w:p>
    <w:p>
      <w:r>
        <w:t>GE Cour de justice, 2017-01-17, FR</w:t>
      </w:r>
    </w:p>
    <w:p>
      <w:r>
        <w:rPr>
          <w:b/>
        </w:rPr>
        <w:t xml:space="preserve">Quelle: </w:t>
      </w:r>
      <w:r>
        <w:t>https://mcp.opencaselaw.ch/entscheid/ge_gerichte_ATAS_18_2017</w:t>
      </w:r>
    </w:p>
    <w:p>
      <w:r>
        <w:t>FR: GE_GERICHTE ATAS/18/2017 du 17 janvier 2017</w:t>
      </w:r>
    </w:p>
    <w:p>
      <w:r>
        <w:t>IT: GE_GERICHTE ATAS/18/2017 del 17 gennaio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30 juillet 2006, d’autre part le 26 août 2016, date à laquelle le jugement de divorce est devenu exécutoire.</w:t>
      </w:r>
    </w:p>
    <w:p>
      <w:r>
        <w:rPr>
          <w:b/>
        </w:rPr>
        <w:t>E. 5</w:t>
      </w:r>
    </w:p>
    <w:p>
      <w:r>
        <w:t>Selon les documents produits, la prestation acquise pendant le mariage par le demandeur est de CHF 0.- tandis que celle acquise par la demanderesse est de</w:t>
      </w:r>
    </w:p>
    <w:p>
      <w:r>
        <w:t>A/3118/2016 4/5 CHF 369.10. Ainsi, la demanderesse doit au demandeur le montant de CHF 184.55 (CHF 369.10 : 2).</w:t>
      </w:r>
    </w:p>
    <w:p>
      <w:r>
        <w:rPr>
          <w:b/>
        </w:rPr>
        <w:t>E. 6</w:t>
      </w:r>
    </w:p>
    <w:p>
      <w:r>
        <w:t>Conformément à la jurisprudence, depuis le jour déterminant pour le partage (soit le 26 août 2016)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A/3118/2016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