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ATAS/18/2016 vom 11. Januar 2016</w:t>
      </w:r>
    </w:p>
    <w:p>
      <w:r>
        <w:t>GE Cour de justice, 2016-01-11, FR</w:t>
      </w:r>
    </w:p>
    <w:p>
      <w:r>
        <w:rPr>
          <w:b/>
        </w:rPr>
        <w:t xml:space="preserve">Quelle: </w:t>
      </w:r>
      <w:r>
        <w:t>https://mcp.opencaselaw.ch/entscheid/ge_gerichte_ATAS_18_2016</w:t>
      </w:r>
    </w:p>
    <w:p>
      <w:r>
        <w:t>FR: GE_GERICHTE ATAS/18/2016 du 11 janvier 2016</w:t>
      </w:r>
    </w:p>
    <w:p>
      <w:r>
        <w:t>IT: GE_GERICHTE ATAS/18/2016 del 11 gennaio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A/3532/2015 - 5/7 - al. 3 let. a LOJ, sur les contestations prévues à l'art. 43 de la loi cantonale sur les prestations complémentaires cantonales du 25 octobre 1968 (LPCC - J 4 25). Sa compétence pour juger du cas d’espèce est ainsi établie.</w:t>
      </w:r>
    </w:p>
    <w:p>
      <w:r>
        <w:rPr>
          <w:b/>
        </w:rPr>
        <w:t>E. 2</w:t>
      </w:r>
    </w:p>
    <w:p>
      <w:r>
        <w:t>a. Si l’assurée a qualité pour recourir en tant que destinataire de la décision attaquée, il est douteux qu'elle puisse se prévaloir d'un intérêt digne de protection à l’annulation ou la modification de cette décision (art. 59 LPGA) en tant qu'elle concerne les prestations complémentaires ou les subsides d'assurance-maladie, seul objet de la compétence de la chambre de céans. Cette question pourra toutefois rester ouverte, compte tenu du motif pour lequel le « recours » sera déclaré irrecevable.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