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ATAS/189/2015 vom 11. März 2015</w:t>
      </w:r>
    </w:p>
    <w:p>
      <w:r>
        <w:t>GE Cour de justice, 2015-03-11, FR</w:t>
      </w:r>
    </w:p>
    <w:p>
      <w:r>
        <w:rPr>
          <w:b/>
        </w:rPr>
        <w:t xml:space="preserve">Quelle: </w:t>
      </w:r>
      <w:r>
        <w:t>https://mcp.opencaselaw.ch/entscheid/ge_gerichte_ATAS_189_2015</w:t>
      </w:r>
    </w:p>
    <w:p>
      <w:r>
        <w:t>FR: GE_GERICHTE ATAS/189/2015 du 11 mars 2015</w:t>
      </w:r>
    </w:p>
    <w:p>
      <w:r>
        <w:t>IT: GE_GERICHTE ATAS/189/2015 del 11 marzo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de la loi sur l’assurance-accidents (LAA – RS 832.20), les dispositions de la LPGA s'appliquent à l'assurance-accidents, à moins que la loi n'y déroge expressément.</w:t>
      </w:r>
    </w:p>
    <w:p>
      <w:r>
        <w:t>A/4046/2013 - 11/16 -</w:t>
      </w:r>
    </w:p>
    <w:p>
      <w:r>
        <w:rPr>
          <w:b/>
        </w:rPr>
        <w:t>E. 3</w:t>
      </w:r>
    </w:p>
    <w:p>
      <w:r>
        <w:t>Interjeté dans les délai et forme prévus par la loi, le recours est recevable (art. 56ss LPGA).</w:t>
      </w:r>
    </w:p>
    <w:p>
      <w:r>
        <w:rPr>
          <w:b/>
        </w:rPr>
        <w:t>E. 4</w:t>
      </w:r>
    </w:p>
    <w:p>
      <w:r>
        <w:t>Le litige porte sur le droit de la recourante à des indemnités journalières fondées sur une incapacité de travail de 50 % depuis le 1er août 2013 et de 30 % depuis le 1er octobre 2013.</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w:t>
      </w:r>
    </w:p>
    <w:p>
      <w:r>
        <w:rPr>
          <w:b/>
        </w:rPr>
        <w:t>E. 6</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w:t>
      </w:r>
    </w:p>
    <w:p>
      <w:r>
        <w:t>A/4046/2013 - 12/16 -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A/4046/2013 - 13/16 -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w:t>
      </w:r>
    </w:p>
    <w:p>
      <w:r>
        <w:rPr>
          <w:b/>
        </w:rPr>
        <w:t>E. 8</w:t>
      </w:r>
    </w:p>
    <w:p>
      <w:r>
        <w:t>Il convient en premier lieu d’examiner si les rapports sur lesquels se fonde l’intimée répondent aux exigences dégagées par la jurisprudence. L’avis du Dr K______ a été établi en parfaite connaissance du dossier médical de la recourante, dont ce spécialiste a rapporté les plaintes. Il se fonde également sur un examen clinique aussi détaillé que le permettaient les réactions allodyniques de la recourante, ainsi que sur l’étude de l’imagerie médicale. Le Dr K______ a posé un diagnostic précis et ses conclusions quant à la capacité de travail, confirmant celles du Dr I______ aux termes desquelles la recourante pouvait reprendre le travail à 75 % puis à 100 %, sont claires. Elles correspondent d’ailleurs au pronostic émis par le Dr H______ dans son rapport du 4 juin 2013 au vu du caractère rassurant de la deuxième IRM du genou réalisée. Il n’y a d’ailleurs aucun élément permettant de remettre en cause ces conclusions selon lesquelles la recourante était médicalement apte à reprendre son activité à plein temps dès le 1er août 2013. On notera en premier lieu que la recourante exerce une activité administrative, dont on peut supposer qu’elle est essentiellement sédentaire même si elle comprend certaines activités debout. La recourante a du reste indiqué que son employeur avait aménagé son poste de manière à diminuer les déplacements lors de son audition du 21 mai 2014. Par ailleurs, les activités pour lesquelles la recourante a signalé des difficultés lors de son entretien du 27 juin 2013 étaient la montée et la descente des escaliers ainsi que les déplacements sur des terrains en pente. L’immeuble dans lequel elle travaille étant doté d’un ascenseur selon ses déclarations, on peut admettre qu’elle ne se trouve pas confrontée à de telles situations dans sa vie professionnelle. On notera par ailleurs que les médecins traitants ayant attesté d’une incapacité de travail durant la période litigieuse n’ont défini aucune limitation fonctionnelle. Enfin, le Dr H______ préconisait en mars 2013 déjà la mobilisation. Partant, on doit admettre que l’atteinte du genou de la recourante n’est pas incompatible avec une activité légère telle que celle d’assistante administrative. Dans ces conditions, les douleurs invoquées par la recourante – dont les médecins d’arrondissement ne contestent pas qu’elles persistent dans une certaine mesure – ne suffisent pas à justifier la prolongation de l’incapacité de travail. En effet, si le droit aux indemnités journalières peut rester ouvert jusqu’à la stabilisation de l’état de santé, non acquise en l’occurrence, cela n’empêche pas l’assureur de mettre un terme à leur versement avant la guérison complète lorsque le décours de l’atteinte n’empêche pas la reprise d’une activité professionnelle adaptée. Contrairement à ce que semble affirmer le mandataire de l’intimée dans son écriture du 19 mars 2014, l’existence d’un lien de causalité entre les troubles du genou et l’accident n’était pas contestée par le Dr</w:t>
      </w:r>
    </w:p>
    <w:p>
      <w:r>
        <w:t>A/4046/2013 - 14/16 - K______, mais elle ne suffit pas à fonder un droit aux prestations en l’espèce au vu de la nature de l’atteinte et de l’activité exercée. Enfin, la recourante a augmenté de sa propre initiative son taux d’activité à 70 % dans un premier temps puis à 80 %, sans problème ou aggravation apparents, ce qui tend également à corroborer les conclusions du Dr K______ et relativise la portée des arrêts de travail établis par ses médecins traitants. Quant aux rapports de ces derniers, ils ne suffisent pas à remettre en cause les appréciations des médecins d’arrondissement de l’intimée dès lors que du point de vue formel, ils ne comprennent pas tous les éléments permettant de reconnaître une pleine valeur probante à un rapport médical. S’agissant en particulier du Dr J______, il a certes évoqué dans son rapport du 10 juillet 2013 « des arguments médicaux fondés » à l’appui de la prolongation de l’incapacité de travail de la recourante, sans toutefois exposer quels étaient ces arguments. Quant aux certificats que ce médecin a établis par la suite, ils ne sont aucunement motivés. Tel est également le cas des certificats d’incapacité de travail de la Dresse C______. La neurologue consultée par la recourante ne s’est quant à elle pas prononcée sur la capacité de travail de la recourante, qu’elle a cependant encouragée à poursuivre l’activité physique dans son rapport du 4 mai 2014. Le Dr S______ ne s’est déterminé que sur la hernie crurale et non sur l’atteinte du genou et la capacité de travail de la recourante. Les arguments de la recourante ne conduisent pas non plus à une autre appréciation. En premier lieu, contrairement à ce qu’elle affirme, il ne ressort pas de l’échographie du Dr L______ que l’évolution de son genou ne serait pas rassurante. La persistance de douleur, que l’intimée ne nie pas, n’est comme on l’a vu pas suffisante pour reconnaître une incapacité de travail. Partant, la survenance d’une algodystrophie, qui pourrait expliquer certains symptômes de la recourante, n’a pas non plus une portée décisive sur l’issue du présent litige. La recourante a conclu à la mise en œuvre de plusieurs mesures d’instruction, telles que l’audition de nombreux médecins, la mise en œuvre d’une expertise neurologique et orthopédique et d’une expertise pour mettre en évidence une algodystrophie.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En l’espèce, dès lors que les arguments des médecins traitants ne suffisent pas à nier la valeur probante du rapport du Dr K______, une expertise</w:t>
      </w:r>
    </w:p>
    <w:p>
      <w:r>
        <w:t>A/4046/2013 - 15/16 - bidisciplinaire s’avère inutile. Quant à l’expertise destinée à prouver une algodystrophie, elle n’est pas non plus nécessaire puisque l’existence de cette atteinte n’est pas exclue par les médecins d’arrondissement mais n’empêche pas l’exercice d’une activité adaptée selon leur appréciation. Enfin, l’audition des médecins est requise par la recourante au motif que ces derniers ont objectivé ses atteintes. Or, ces atteintes ont également été prises en compte par les médecins- conseils de l’intimée, si bien qu’il est superfétatoire de les entendre.</w:t>
      </w:r>
    </w:p>
    <w:p>
      <w:r>
        <w:rPr>
          <w:b/>
        </w:rPr>
        <w:t>E. 9</w:t>
      </w:r>
    </w:p>
    <w:p>
      <w:r>
        <w:t>Eu égard à ce qui précède, la décision de l’intimée doit être confirmée. La recourante, qui succombe, n’a pas droit à des dépens (art. 61 let. g LPGA). Pour le surplus, la procédure est gratuite (art. 61 let. a LPGA).</w:t>
      </w:r>
    </w:p>
    <w:p>
      <w:r>
        <w:t>A/4046/2013 - 16/16 -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