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ATAS/189/2010 vom 17. Februar 2009</w:t>
      </w:r>
    </w:p>
    <w:p>
      <w:r>
        <w:t>GE Cour de justice, 2009-02-17, FR</w:t>
      </w:r>
    </w:p>
    <w:p>
      <w:r>
        <w:rPr>
          <w:b/>
        </w:rPr>
        <w:t xml:space="preserve">Quelle: </w:t>
      </w:r>
      <w:r>
        <w:t>https://mcp.opencaselaw.ch/entscheid/ge_gerichte_ATAS_189_2010</w:t>
      </w:r>
    </w:p>
    <w:p>
      <w:r>
        <w:t>FR: GE_GERICHTE ATAS/189/2010 du 17 février 2009</w:t>
      </w:r>
    </w:p>
    <w:p>
      <w:r>
        <w:t>IT: GE_GERICHTE ATAS/189/2010 del 17 febbraio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a entraîné la modification de nombreuses dispositions légales dans le domaine de l'assurance-invalidité. Cela</w:t>
      </w:r>
    </w:p>
    <w:p>
      <w:r>
        <w:t>A/706/2009 - 5/8 - étant, les notions et les principes développés jusqu'alors par la jurisprudence en matière d’évaluation de l'invalidité n'ont pas été modifiés par l'entrée en vigueur de la LPGA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t>A/706/2009 - 6/8 -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w:t>
      </w:r>
    </w:p>
    <w:p>
      <w:r>
        <w:t>A/706/2009 - 7/8 -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9</w:t>
      </w:r>
    </w:p>
    <w:p>
      <w:r>
        <w:t>En l'espèce, il apparaît manifeste que des investigations médicales complémentaires sont nécessaires sur le plan psychique, les médecins ayant conclu à une erreur de diagnostic. Il est dès lors nécessaire de procéder à une instruction complémentaire pour confirmer les nouveaux diagnostics retenus est déterminer quelles sont leurs éventuelles répercussions sur la capacité de travail de la recourante. La cause n'étant, de l'avis du Tribunal de céans comme des parties, pas suffisamment instruite pour permettre de se déterminer en connaissance de cause, il convient d’admettre partiellement le recours et de renvoyer la cause à l’intimé pour instruction complémentaire puis nouvelle décision.</w:t>
      </w:r>
    </w:p>
    <w:p>
      <w:r>
        <w:t>A/706/2009 - 8/8 -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