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ATAS/188/2021 vom 10. März 2021</w:t>
      </w:r>
    </w:p>
    <w:p>
      <w:r>
        <w:t>GE Cour de justice, 2021-03-10, FR</w:t>
      </w:r>
    </w:p>
    <w:p>
      <w:r>
        <w:rPr>
          <w:b/>
        </w:rPr>
        <w:t xml:space="preserve">Quelle: </w:t>
      </w:r>
      <w:r>
        <w:t>https://mcp.opencaselaw.ch/entscheid/ge_gerichte_ATAS_188_2021</w:t>
      </w:r>
    </w:p>
    <w:p>
      <w:r>
        <w:t>FR: GE_GERICHTE ATAS/188/2021 du 10 mars 2021</w:t>
      </w:r>
    </w:p>
    <w:p>
      <w:r>
        <w:t>IT: GE_GERICHTE ATAS/188/2021 del 10 marzo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 art. 62 al. 1 de la de loi sur la procédure administrative du 12 septembre 1985 [LPA - E 5 10]). Interjeté dans la forme et le délai prévus par la loi, compte tenu de la suspension des délais pour la période du 15 juillet au 15 août inclusivement (art. 38 al. 4 let. b LPGA et art. 89C let. b LPA), le recours est recevable (art. 56 ss LPGA et 62 ss LPA).</w:t>
      </w:r>
    </w:p>
    <w:p>
      <w:r>
        <w:rPr>
          <w:b/>
        </w:rPr>
        <w:t>E. 4</w:t>
      </w:r>
    </w:p>
    <w:p>
      <w:r>
        <w:t>Le litige porte sur le droit de la recourante aux prestations de l’assurance-invalidité, notamment à une rente d'invalidité.</w:t>
      </w:r>
    </w:p>
    <w:p>
      <w:r>
        <w:t>- 12/23-</w:t>
      </w:r>
    </w:p>
    <w:p>
      <w:r>
        <w:t>A/2722/2018</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 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En 2017,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w:t>
      </w:r>
    </w:p>
    <w:p>
      <w:r>
        <w:t>- 13/23-</w:t>
      </w:r>
    </w:p>
    <w:p>
      <w:r>
        <w:t>A/2722/2018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(ATF 143 V 409 consid. 4.5 et ATF 143 V 418 consid. 6 et 7).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Il convient dorénavant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à l'aide des indicateurs suivants : a.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cette atteinte de celles dues à des facteurs non assurés. b.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w:t>
      </w:r>
    </w:p>
    <w:p>
      <w:r>
        <w:t>- 14/23-</w:t>
      </w:r>
    </w:p>
    <w:p>
      <w:r>
        <w:t>A/2722/2018 c.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d.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e. Si des difficultés sociales ont directement des conséquences fonctionnelles négatives, elles ne doivent pas être prises en considération. En revanche, le contexte de vie de l'assuré peut lui procurer des ressources mobilisables, par exemple par le biais de son réseau social. Il faut s'assurer qu'une incapacité de travail pour des raisons de santé ne se confond pas avec le chômage non assuré ou avec d'autres difficultés de vie. f.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g. Il faut examiner ensuite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w:t>
      </w:r>
    </w:p>
    <w:p>
      <w:r>
        <w:t>- 15/23-</w:t>
      </w:r>
    </w:p>
    <w:p>
      <w:r>
        <w:t>A/2722/2018</w:t>
      </w:r>
    </w:p>
    <w:p>
      <w:r>
        <w:rPr>
          <w:b/>
        </w:rPr>
        <w:t>E. 8</w:t>
      </w:r>
    </w:p>
    <w:p>
      <w:r>
        <w:t>Le juge vérifie librement si l'expert médical a exclusivement tenu compte des déficits fonctionnels résultant de l'atteinte à la santé et si son évaluation de l'exigibilité repose sur une base objective.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 arrêt du Tribunal fédéral 8C_841/2016 du 30 novembre 2017 consid. 4.5.2).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difficultés décrites et le comportement observé, l'allégation d'intenses difficultés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131 V 49 consid. 1.2).</w:t>
      </w:r>
    </w:p>
    <w:p>
      <w:r>
        <w:rPr>
          <w:b/>
        </w:rPr>
        <w:t>E. 9</w:t>
      </w:r>
    </w:p>
    <w:p>
      <w:r>
        <w:t>a.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w:t>
      </w:r>
    </w:p>
    <w:p>
      <w:r>
        <w:t>- 16/23-</w:t>
      </w:r>
    </w:p>
    <w:p>
      <w:r>
        <w:t>A/2722/2018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10</w:t>
      </w:r>
    </w:p>
    <w:p>
      <w:r>
        <w:t>Sans remettre en cause le principe de la libre appréciation des preuves, le Tribunal fédéral des assurances a posé des lignes directrices en ce qui concerne la manière d'apprécier certains types d'expertises ou de rapports médicaux. 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w:t>
      </w:r>
    </w:p>
    <w:p>
      <w:r>
        <w:t>- 17/23-</w:t>
      </w:r>
    </w:p>
    <w:p>
      <w:r>
        <w:t>A/2722/2018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w:t>
      </w:r>
    </w:p>
    <w:p>
      <w:r>
        <w:t>- 18/23-</w:t>
      </w:r>
    </w:p>
    <w:p>
      <w:r>
        <w:t>A/2722/2018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13</w:t>
      </w:r>
    </w:p>
    <w:p>
      <w:r>
        <w:t>En l’espèce, l’intimé a refusé le droit aux prestations de l’assurance-invalidité au motif que la recourante ne présentait pas d’atteinte à la santé incapacitante au sens de l’AI, se fondant sur les conclusions du rapport du 6 février 2018 de la Dresse R______, du SMR. Cette dernière a estimé que dans un contexte de trouble visuel sans substrat organique, l’expertise du Dr Q______ permettait d’éliminer l’existence d’une atteinte psychiatrique incapacitante. En substance, aucune atteinte à la santé au sens de l’AI ne pouvait être retenue, ni au plan somatique, ni au plan psychique, ce que la Dresse R______ a confirmé dans son avis du 11 juin 2018. Toutefois, dans son rapport d’expertise du 15 décembre 2017, le Dr Q______ n’est pas parti du même présupposé selon lequel il n’existait pas de substrat organique. Il a, au contraire, retenu l’existence d’un trouble neurologique associé (la mydriase bilatérale) et il a même invité à vérifier à nouveau s’il n’existait pas de substratum organique. Il a considéré que le tableau clinique était incomplet, qu’il était important de relancer un examen et un bilan ophtalmologiques de façon régulière, et qu’il n’existait pas, au jour de l’expertise et en l’état, de diagnostic somatique ophtalmologique de certitude. Considérant qu’un trouble dissociatif ne pouvait avoir de diagnostic posé de façon certaine qu’en l’absence absolue de toute symptomatologie somatique associée, le Dr Q______ a estimé que le symptôme de mydriase aréactive était l’argument de poids qui orientait le diagnostic plutôt vers une cause organique. Cette raison l’a amené à retenir comme possible le diagnostic de trouble moteur dissociatif (cécité psychogène) F44.4, mais à ne pas le confirmer et à affirmer qu’en l’état, aucun diagnostic psychiatrique de certitude ne pouvait être posé. Au final, pour le Dr Q______, il n’existait pas, au jour de l’expertise et en l’état, de diagnostic certain, ni somatique, ni psychiatrique, et il convenait de surveiller et de réévaluer la situation. Cela étant, le déficit sensoriel de la vision</w:t>
      </w:r>
    </w:p>
    <w:p>
      <w:r>
        <w:t>- 19/23-</w:t>
      </w:r>
    </w:p>
    <w:p>
      <w:r>
        <w:t>A/2722/2018 était une réalité clinique incontestable, objectivée à plusieurs reprises dans le dossier et corroborée lors de l’entretien d’expertise. Dans ces circonstances, le SMR ne pouvait, sans effectuer d'acte d'instruction complémentaire, estimer que l'instruction du dossier permettait de statuer en pleine connaissance de cause, et retenir qu’il n’existait pas d’atteinte à la santé incapacitante au sens de l’AI. Le lapsus calami qu’il a effectué n’est pas insignifiant dans cette optique : en rapportant l’appréciation selon laquelle le Dr Q______ avait dit que le déficit sensoriel de la vision « n’était certainement pas d’origine psychique », l’évaluation qui a été affirmée exclut définitivement tout diagnostic psychiatrique. En réalité, le Dr Q______ a considéré que le déficit sensoriel de la vision « n’était pas certainement d’origine psychique », ce qui n’a pas exclu définitivement tout diagnostic psychiatrique, qui au contraire a été qualifié de possible. L’expert a appelé à davantage d’investigations de l’absence d’un substrat organique, avant que l’état psychique de la recourante soit réévalué. Si l’on peut comprendre que le SMR considère que le Dr Q______ n’avait pas à se prononcer en dehors de son domaine de compétence, le rapport d’expertise de ce dernier montre néanmoins la nécessité de combiner l’appréciation des volets somatique et psychique, compte tenu du fait que les doutes de l’expert sur l’absence de cause organique ont joué un rôle important dans le fait qu’il n’a pas retenu de diagnostic psychiatrique. Au vu de ce qui précède, la décision contestée repose sur une instruction insuffisante pour permettre à la chambre de céans de trancher le litige, même sous l'angle de la vraisemblance prépondérante. Il se justifie en conséquence d'ordonner une expertise bi-disciplinaire qui sera confiée à un spécialiste en ophtalmologie et à un spécialiste en psychiatrie- psychothérapie, à charge pour eux de s'entourer d'avis d'autres spécialistes, notamment en neurologie, s'ils l'estiment nécessaire à l'accomplissement de leur mission. En outre, il est tenu compte des questions supplémentaires proposées par les parties dans la mesure où celles-ci ne se confondent pas avec des questions figurant déjà dans la mission d’expertise. ***</w:t>
      </w:r>
    </w:p>
    <w:p>
      <w:r>
        <w:t>- 20/23-</w:t>
      </w:r>
    </w:p>
    <w:p>
      <w:r>
        <w:t>A/2722/2018 PAR CES MOTIFS, LA CHAMBRE DES ASSURANCES SOCIALES : Statuant préparatoirement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