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ATAS/187/2022 vom 21. Oktober 2015</w:t>
      </w:r>
    </w:p>
    <w:p>
      <w:r>
        <w:t>GE Cour de justice, 2015-10-21, FR</w:t>
      </w:r>
    </w:p>
    <w:p>
      <w:r>
        <w:rPr>
          <w:b/>
        </w:rPr>
        <w:t xml:space="preserve">Quelle: </w:t>
      </w:r>
      <w:r>
        <w:t>https://mcp.opencaselaw.ch/entscheid/ge_gerichte_ATAS_187_2022</w:t>
      </w:r>
    </w:p>
    <w:p>
      <w:r>
        <w:t>FR: GE_GERICHTE ATAS/187/2022 du 21 octobre 2015</w:t>
      </w:r>
    </w:p>
    <w:p>
      <w:r>
        <w:t>IT: GE_GERICHTE ATAS/187/2022 del 21 ottobre 2015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Interjeté postérieurement au 1er janvier 2021, le recours est par conséquent soumis au nouveau droit (cf. art. 82a LPGA a contrario).</w:t>
      </w:r>
    </w:p>
    <w:p>
      <w:r>
        <w:rPr>
          <w:b/>
        </w:rPr>
        <w:t>E. 4</w:t>
      </w:r>
    </w:p>
    <w:p>
      <w:r>
        <w:t>Interjeté dans la forme et le délai prévus par la loi, le recours est prima facie recevable (art. 56 et 60 de la LPGA; art. 89B de la loi sur la procédure administrative du 12 septembre 1985 [(LPA-GE - E 5 10)].</w:t>
      </w:r>
    </w:p>
    <w:p>
      <w:r>
        <w:rPr>
          <w:b/>
        </w:rPr>
        <w:t>E. 5</w:t>
      </w:r>
    </w:p>
    <w:p>
      <w:r>
        <w:t>À teneur de l’art. 49 al. 5 LPGA, l’assureur peut priver toute opposition ou tout recours de l’effet suspensif, même si cette décision porte sur une prestation en</w:t>
      </w:r>
    </w:p>
    <w:p>
      <w:r>
        <w:t>A/435/2022 - 4/6 - espèces. Les décisions ordonnant la restitution de prestations versées indûment sont exceptées. Ces principes s’appliquent également aux décisions sur opposition (cf. art. 52 al. 4 LPGA).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voir également arrêts du Tribunal</w:t>
      </w:r>
    </w:p>
    <w:p>
      <w:r>
        <w:t>A/435/2022 - 5/6 - fédéral 9C_ 846/2018 du 29 novembre 2019 consid. 7.1 et 9C_207/2014 du 1er mai 2014 consid. 5.3).</w:t>
      </w:r>
    </w:p>
    <w:p>
      <w:r>
        <w:rPr>
          <w:b/>
        </w:rPr>
        <w:t>E. 6</w:t>
      </w:r>
    </w:p>
    <w:p>
      <w:r>
        <w:t>En l’espèce, la décision querellée repose sur une expertise qui remplit a priori les réquisits pour se voir reconnaître une pleine valeur probante. Il n’apparaît manifeste que le rapport d’expertise du Dr C______ ne remplirait pas les critères pour se voir reconnaître une pleine valeur probante. La recourante se prévaut de deux brefs rapports établis par le docteur D______ le 5 août 2020 et la doctoresse E______ le 17 août 2021, qui ne se prononcent pas de manière détaillée sur sa capacité de travail. Dans ces circonstances, les chances de succès de la recourante sur le fond ne paraissent pas évidentes à première vue. Par conséquent, l’intérêt de l’administration à l’exécution immédiate de la décision faisant l’objet du recours l’emporte sur celui de la recourante à percevoir une rente entière durant la procédure. L’issue de la procédure étant incertain, il existe un risque important que la recourante ne puisse pas rembourser les prestations qui seraient versées à tort par l’intimé.</w:t>
      </w:r>
    </w:p>
    <w:p>
      <w:r>
        <w:rPr>
          <w:b/>
        </w:rPr>
        <w:t>E. 7</w:t>
      </w:r>
    </w:p>
    <w:p>
      <w:r>
        <w:t>Partant, la demande de restitution de l’effet suspensif sera rejetée. La suite de la procédure sera réservée.</w:t>
      </w:r>
    </w:p>
    <w:p>
      <w:r>
        <w:t>A/435/2022 - 6/6 - PAR CES MOTIFS, LA CHAMBRE DES ASSURANCES SOCIALES : Statuant selon l’art. 21 al. 2 LPA-GE 1. Rejette la demande de restitution de l’effet suspensif. 2. Réserve la suite de la procédure.</w:t>
      </w:r>
    </w:p>
    <w:p>
      <w:r>
        <w:t>La greffière</w:t>
      </w:r>
    </w:p>
    <w:p>
      <w:r>
        <w:t>Isabelle CASTILLO</w:t>
      </w:r>
    </w:p>
    <w:p>
      <w:r>
        <w:t>La présidente</w:t>
      </w:r>
    </w:p>
    <w:p>
      <w:r>
        <w:t>Catherine TAPPONNIER</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