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ATAS/187/2018 vom 6. März 2018</w:t>
      </w:r>
    </w:p>
    <w:p>
      <w:r>
        <w:t>GE Cour de justice, 2018-03-06, FR</w:t>
      </w:r>
    </w:p>
    <w:p>
      <w:r>
        <w:rPr>
          <w:b/>
        </w:rPr>
        <w:t xml:space="preserve">Quelle: </w:t>
      </w:r>
      <w:r>
        <w:t>https://mcp.opencaselaw.ch/entscheid/ge_gerichte_ATAS_187_2018</w:t>
      </w:r>
    </w:p>
    <w:p>
      <w:r>
        <w:t>FR: GE_GERICHTE ATAS/187/2018 du 6 mars 2018</w:t>
      </w:r>
    </w:p>
    <w:p>
      <w:r>
        <w:t>IT: GE_GERICHTE ATAS/187/2018 del 6 marzo 2018</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l'assurance-chômage obligatoire et l'indemnité en cas d'insolvabilité, du 25 juin 1982 (LACI - RS 837.0). Elle est donc compétente pour statuer sur les deux recours, les deux décisions attaquées ayant été rendues sur opposition en application de la LACI. b. Il se justifie de statuer par un seul arrêt sur les deux recours, sans qu’une jonction de cause ne soit prononcée (art. 70 de la loi sur la procédure administrative du 12 septembre 1985 - LPA - E 5 10). c. Les deux recours ont été interjetés en temps utile (art. 60 LPGA). Ils satisfont aux exigences, peu élevées, de forme et de contenu prescrites pas la loi (art. 61 let. b LPGA ; cf. aussi art. 89B LPA). Le recourant a qualité pour recourir, étant touché par les décisions attaquées et ayant un intérêt digne de protection à leur annulation ou leur modification (art. 59 LPGA). d. Les deux recours sont donc recevables.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w:t>
      </w:r>
    </w:p>
    <w:p>
      <w:r>
        <w:t>A/3217/2017 et A/3218/2017 - 5/10 - d’admissibilité de telles directives administratives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w:t>
      </w:r>
    </w:p>
    <w:p>
      <w:r>
        <w:t>A/3217/2017 et A/3218/2017 - 6/10 -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w:t>
      </w:r>
    </w:p>
    <w:p>
      <w:r>
        <w:rPr>
          <w:b/>
        </w:rPr>
        <w:t>E. 11</w:t>
      </w:r>
    </w:p>
    <w:p>
      <w:r>
        <w:t>mai 2011 consid. 2.5 ; Boris RUBIN, op. cit., n. 63 ad art. 30). d.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 ou l’autre de celles que la loi lui permet de</w:t>
      </w:r>
    </w:p>
    <w:p>
      <w:r>
        <w:t>A/3217/2017 et A/3218/2017 - 7/10 - retenir, ou lorsque, s’estimant liée, n’exerce pas le pouvoir d’appréciation que lui confère la loi (Stéphane GRODECKI / Romain JORDAN, op. cit. n. 767 s.). e. Selon l’art. 30 al. 2 LACI, l’autorité cantonale prononce les suspensions au sens de l'al. 1 (not. let. d). Dans d’autres cas, ce sont les caisses qui statuent. 3. a. En l’espèce, il n’est pas contesté qu’à teneur du plan d’actions qu’il avait signé le 27 février 2017, le recourant était tenu d’effectuer au minimum dix recherches personnelles d’emploi par mois, devant être réparties sur l’ensemble de chaque mois. Cette condition-ci contribue à concrétiser le devoir incombant au chômeur, tel qu’il se déduit de l’esprit de l’art. 17 al. 1 LACI, de chercher un emploi avec assiduité et régularité, préoccupation qui doit l’habiter et se traduire concrètement par des démarches tout au long de chaque mois de chômage. Elle figurait explicitement, mise en gras, sur ledit plan d’actions. Le recourant était en mesure d’en comprendre le sens, quand bien même sa conseillère en personnel n’aurait pas explicitement attiré son attention sur la nécessité de ne pas concentrer toutes ses recherches personnelles d’emploi sur une période limitée de chaque mois. b. Lorsque les recherches d'emploi de l'assuré sont insuffisantes, l'autorité compétente prononce, pour chaque période de contrôle, une décision de suspension du droit à l'indemnité (Bulletin LACI IC ch. B323 phr. 1), donc par mois (art. 27a OACI). c. En mars 2017, le recourant a effectué ses dix recherches personnelles d’emploi du 16 au 31 mars, de façon assez régulière durant ce demi mois d’affilée, puisqu’il a fait des postulations respectivement les 16 (une offre d’emploi), 18 (deux), 21 (une), 22 (une), 24 (une), 28 (une), 29 (une), 30 (une) et 31 (une). En avril 2017, il les a concentrées sur six jours d’affilée, du 20 au 25 avril, soit deux le 20, deux le 21, deux le 24 et quatre le 25 (semble-t-il, aucune date ne figurant sur le formulaire s’agissant des deux dernières postulations). Ne consacrer que la moitié d’un mois à la recherche d’un emploi ne suffit pas à satisfaire à l’exigence de répartir les recherches sur l’ensemble du mois. L’inobservation de cette obligation-ci est encore plus marquée pour une période de six jours seulement. Force est de considérer que durant quasiment les trois premières semaines d’avril, le recourant n’a effectué aucune recherche personnelle d’emploi ; or, si la période de Pâques (tombé le 1er avril en 2017) n’était sans doute guère propice à obtenir des rendez-vous d’embauche dans des entreprises, le recourant n’était pas dispensé pour autant d’envoyer son dossier de candidature aussi durant cette période (Boris RUBIN, op. cit., n. 22 ad art. 17). d. C’est donc à bon droit que l’intimé a retenu que le recourant n’avait pas entièrement satisfait à son obligation tant pour mars que pour avril 2017, quoique de façon moins marquée pour mars que pour avril 2017. 4. a. Il se justifiait de prononcer à son encontre une suspension de son droit à l’indemnité de chômage, pour chacun de ces deux mois.</w:t>
      </w:r>
    </w:p>
    <w:p>
      <w:r>
        <w:t>A/3217/2017 et A/3218/2017 - 8/10 - b. La chambre des assurances sociales a déjà jugé que le contrôle mensuel des recherches personnelles d’emploi que prévoit l’art. 26 al. 3 OACI vise aussi à prévenir que des assurés ne demeurent le cas échéant dans une compréhension erronée de leurs devoirs et donc qu’il doit intervenir sans tarder (ATAS/1012/2017 et ATAS/1014/2017 du 14 novembre 2017 consid. 4c ; ATAS/549/2017 du 27 juin 2017 consid. 6 ; ATAS/223/2015 et ATAS/224/2015 du 24 mars 2015 consid. 8 in fine ; ATAS/203/2015 du 17 mars 2015 consid. 7b in fine ; cf. ATAS/648/2017 du 18 juillet 2017 consid. 5d pour la diligence à sanctionner un refus d’emploi ou un comportement assimilable à un refus d’emploi). En l’espèce, alors que le formulaire relatif aux recherches personnelles d’emploi de mars 2017 lui avait été remis le 5 avril 2017, l’intimé n’a rendu sa décision de suspension que le 24 mai 2017, soit sept semaines plus tard, alors que, s’agissant des recherches personnelles d’emploi que le recourant avait concentrées sur une période encore plus courte en avril 2017, il a statué le 26 mai 2017, soit trois semaines après l’avoir appris. Il est vrai par ailleurs que la conseillère en personnel du recourant n’a pas fait de remarque à ce dernier après avoir reçu son formulaire relatif à ses recherches personnelles d’emploi de mars 2017, le 5 avril 2017, en particulier lors de l’entretien de conseil du 26 avril 2017 (étant rappelé que celui fixé au 10 avril 2017 n’avait pas pu avoir lieu du fait que le recourant s’y était présenté avec douze minutes de retard). Cependant, le 26 avril 2017, l’entier du mois d’avril était déjà quasiment écoulé, si bien qu’une remarque qui aurait été faite au recourant à ce moment-là n’aurait pas permis à ce dernier de ne pas commettre en avril la même erreur qu’en mars. Compte tenu de la clarté du plan d’actions sur cette question, le recourant ne pouvait cependant inférer de ce retard à sanctionner le manquement de mars et ce silence de la conseillère en personnel qu’il était, sous l’angle de la bonne foi, au bénéfice d’une assurance donnée de pouvoir concentrer ses recherches personnelles d’emploi sur un nombre de jours encore plus restreint en avril qu’en mars 2017. C’est en revanche la mesure de sa faute qui s’en trouvait légèrement amoindrie s’agissant du manquement d’avril 2017. c. D’après les échelles de suspension fixées par le SECO (Bulletin LACI IC, ch. D72 ss), en cas d’inobservation d’instructions des autorités de chômage du genre de celle ici réalisée, la sanction est de 3 à 10 jours la première fois et d’au minimum dix jours la deuxième fois, le cas devant être soumis à l’autorité cantonale en cas de nouvelle récidive (Bulletin LACI IC, ch. D79). Compte tenu du fait que la sanction prononcée – non contestée – pour le retard à l’entretien de conseil du 10 avril 2017 avait, sur opposition, été réduite de cinq à deux jours, il aurait été concevable que l’intimé réduise la suspension du droit à l’indemnité de chômage de six à cinq jours pour la répartition insuffisante des recherches personnelles d’emploi en mars 2017, l’antécédent que constituait le premier manquement s’avérant moins important qu’imaginé initialement. Il ne</w:t>
      </w:r>
    </w:p>
    <w:p>
      <w:r>
        <w:t>A/3217/2017 et A/3218/2017 - 9/10 - saurait cependant être retenu que, ne l’ayant pas fait, l’intimé a commis un abus ou un excès de son pouvoir d’appréciation. Aussi la chambre de céans n’a-t-elle pas à réformer la première des deux sanctions considérées en l’espèce. S’agissant de la seconde, force est de considérer que l’intimé, en retenant onze jours de suspension, est resté nettement dans la marge inférieure du barème fixé par le SECO, d’autant plus qu’il s’agissait d’un troisième manquement, si bien qu’il n’y a pas lieu non plus, pour la chambre de céans, de s’écarter de l’appréciation que l’intimé a faite de la situation, en dépit du retard de l’intimé à réagir à l’inobservation de ses instructions dont le recourant s’était rendu coupable en mars 2017. 5. En conclusion, les deux recours doivent être rejetés. 6. La procédure est gratuite (art. 61 let. a LPGA), et il n’y a pas lieu à allocation d’une indemnité de procédure (art. 61 let. g LPGA). * * * * * *</w:t>
      </w:r>
    </w:p>
    <w:p>
      <w:r>
        <w:t>A/3217/2017 et A/3218/2017 - 10/10 -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