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ATAS/187/2015 vom 11. März 2015</w:t>
      </w:r>
    </w:p>
    <w:p>
      <w:r>
        <w:t>GE Cour de justice, 2015-03-11, FR</w:t>
      </w:r>
    </w:p>
    <w:p>
      <w:r>
        <w:rPr>
          <w:b/>
        </w:rPr>
        <w:t xml:space="preserve">Quelle: </w:t>
      </w:r>
      <w:r>
        <w:t>https://mcp.opencaselaw.ch/entscheid/ge_gerichte_ATAS_187_2015</w:t>
      </w:r>
    </w:p>
    <w:p>
      <w:r>
        <w:t>FR: GE_GERICHTE ATAS/187/2015 du 11 mars 2015</w:t>
      </w:r>
    </w:p>
    <w:p>
      <w:r>
        <w:t>IT: GE_GERICHTE ATAS/187/2015 del 11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A/2359/2014 - 6/12 -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étant rappelé que les délais de recours ne courent pas du 15 juillet au 15 août inclus (cf. art. 38 al. 4 let. b LPGA). Interjeté dans la forme et le délai prévus par la loi, le recours est recevable (art. 56 et ss LPGA).</w:t>
      </w:r>
    </w:p>
    <w:p>
      <w:r>
        <w:rPr>
          <w:b/>
        </w:rPr>
        <w:t>E. 5</w:t>
      </w:r>
    </w:p>
    <w:p>
      <w:r>
        <w:t>Le litige porte sur le droit de la recourante à des prestations de l’assurance- 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w:t>
      </w:r>
    </w:p>
    <w:p>
      <w:r>
        <w:t>A/2359/2014 - 7/12 - la présence d’une incapacité de gain. De plus, il n’y a incapacité de gain que si celle-ci n’est pas objectivement surmontable (al. 2 en vigueur dès le 1er janvier 2008). L’assuré a droit à une rente lorsqu’il a présenté une incapacité de travail (art. 6 LPGA) d’au moins 40% en moyenne durant une année sans interruption notable et qu’au terme de cette année, il est invalide (art. 8 LPA) à 40 % au moins (cf. art. 28 al. 1 let. b et c LPGA). Il y a interruption notable au sens de l’art. 28 al. 1 let. b LAI lorsque l’assuré a été entièrement apte au travail pendant 30 jours consécutifs au moins (art. 29ter du règlement sur l’assurance-invalidité du 17 janvier 1961 - RAI, RS 831.201).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w:t>
      </w:r>
    </w:p>
    <w:p>
      <w:r>
        <w:t>A/2359/2014 - 8/12 -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A/2359/2014 - 9/12 -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Enfin,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En l’espèce, le Dr C______, médecin traitant, a diagnostiqué une hernie discale foraminale gauche L5.S1 comprimant L5 pour laquelle la recourante a été en incapacité de travail totale du 28 septembre 2011 au 29 décembre 2011, puis de 50% du 30 décembre 2011 au 16 avril 2012. A compter du 17 avril 2012, la capacité de travail était à nouveau totale dans son activité habituelle exercée à 75%. En revanche, dans son rapport du 13 novembre 2012, bien que l’état de santé était stationnaire, il a indiqué que depuis le 23 août 2012, la capacité de travail était de 50% dans son poste de travail occupé à 75%. Il a expliqué que l’assurée ne pouvait pas rester longtemps assise en raison des lombosciatalgies, qu’il avait proposé une tentative de reprise de travail à 100%, qu’en cas d’échec et en l’absence d’indications opératoires, l’activité actuelle à 50% était adaptée et que ce taux de 50% du 75% deviendrait définitif. Mandaté pour expertise, le Dr E______ a retenu comme diagnostics avec répercussions sur la capacité de travail des dorsolombalgies chroniques, des lombosciatalgies droites sur troubles de la posture, une méralgie paresthésique droite et une obésité morbide. La méralgie obligeait la patiente à changer de position toutes les quarante-cinq minutes. Selon l’expert, les atteintes à la santé diminuent de 25% la capacité de travail d’un emploi à 100%. Le poste de secrétaire</w:t>
      </w:r>
    </w:p>
    <w:p>
      <w:r>
        <w:t>A/2359/2014 - 10/12 - avait déjà été adapté à son handicap, il respectait les limitations fonctionnelles. Dans cette activité adaptée, la capacité de travail de la recourante était de 75% dès le 26 novembre 2013, jour de l’expertise. L’incapacité de travail médicalement justifiée dans l’activité habituelle a été de 100 % du 28 septembre 2011 au 29 décembre 2011, de 68.5% du 30 décembre 2011 au 16 avril 2012, de 0% du 17 avril 2012 au 23 août 2012 et de 68,5% dès le 24 août 2012. Selon l’expert, l’emploi actuel est adapté au handicap de la recourante, elle peut travailler à 75% depuis le 26 novembre 2013, soit 6 heures par jour avec un rendement de 100%. Il proposait encore de réévaluer l’effet des infiltrations sur le nerf fémoral cutané droit, après trois infiltrations, car il pensait que la capacité de travail pourrait augmenter à 100%. La chambre de céans constate que le rapport d’expertise du Dr E______ a été effectué sur la base de l’intégralité du dossier de la recourante, qu’il comporte une anamnèse complète et détaillée, qu’il a pratiqué un examen clinique complet, complété par des examens radiologiques. L’expert a tenu compte des plaintes de la recourante, l’appréciation du cas et ses conclusions sont claires et convaincantes. Partant, il remplit tous les réquisits permettant de lui attribuer pleine valeur probante. Au vu de ce qui précède, la chambre de céans n’a pas de motif pour s’écarter des conclusions de l’expertise quant aux répercussions de l’atteinte à la santé sur sa capacité de travail, qui est totale dans son activité à 75%, depuis le 26 novembre 2013. Pour la période antérieure, il convient de relever que la recourante avait repris son activité à 75% le 17 avril 2012, avant d’être mise à nouveau en arrêt de travail à 50 % de son 75 % par son médecin traitant, à partir du 24 août 2012. Cela étant, au vu des rapports médicaux et des conclusions de l’expert, l’état de santé de la recourante ne s’est pas aggravé depuis la reprise du travail en avril 2012. Par conséquent, il y a lieu d’admettre que depuis avril 2012, la recourante présente une capacité de travail totale dans son activité à 75%.</w:t>
      </w:r>
    </w:p>
    <w:p>
      <w:r>
        <w:rPr>
          <w:b/>
        </w:rPr>
        <w:t>E. 9</w:t>
      </w:r>
    </w:p>
    <w:p>
      <w:r>
        <w:t>Il s’agit d’évaluer l’invalidité de la recourante au regard de son status mixte, tel que retenu par l’intimé,- ce qui n’est pas contesté -, en tenant compte d’un taux d’activité de 75 % (30 heures par semaine) et de 25 % du temps pour les travaux habituels. Le calcul du taux d’invalidité selon la méthode mixte s’effectue selon la formule suivante (cf. Circulaire concernant l’invalidité et l’impotence de l’assurance- invalidité - CCIAI, chiffre 3101), compte tenu d’une durée normale de travail dans la branche de 40 heures par semaine et de 30 heures de travail hebdomadaire accomplies par la recourante avant l’invalidité : E x IE + ([EZ - E] x H) : EZ E = travail fourni par les assurés en tant que personnes non invalides exerçant une activité lucrative, en heures par semaine</w:t>
      </w:r>
    </w:p>
    <w:p>
      <w:r>
        <w:t>A/2359/2014 - 11/12 -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 Etant donné que la recourante a déposé sa demande le 9 mai 2012, le droit à la rente ne peut prendre naissance que six mois plus tard, soit dès le mois de novembre 2012 (cf. art. 29 al. 1 LAI). O, à cette date, dès lors que la recourante ne présente pas d’invalidité dans l’activité professionnelle, il n’y a pas lieu de déterminer les empêchements dans la sphère ménagère. En effet, ainsi que l’intimé le relève à juste titre, même si un degré d’invalidité maximal était retenu dans la sphère ménagère, le degré d’invalidité serait de toute façon insuffisant pour ouvrir droit à une rente de l’assurance- invalidité (30 x 0% + ([40 - 30] x 100% : 40 = 25 %). Pour le surplus, des mesures professionnelles ne sont pas indiquées, l’activité exercée étant adaptée à l’état de santé de la recourante.</w:t>
      </w:r>
    </w:p>
    <w:p>
      <w:r>
        <w:rPr>
          <w:b/>
        </w:rPr>
        <w:t>E. 10</w:t>
      </w:r>
    </w:p>
    <w:p>
      <w:r>
        <w:t>Mal fondé, le recours sera rejeté. Etant donné que depuis le 1er juillet 2006, la procédure n'est plus gratuite (art. 69 al. 1bis LAI), il y a lieu de condamner la recourante au paiement d'un émolument de CHF 200.-.</w:t>
      </w:r>
    </w:p>
    <w:p>
      <w:r>
        <w:t>A/2359/2014 - 12/12 -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