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ATAS/186/2020 vom 3. März 2020</w:t>
      </w:r>
    </w:p>
    <w:p>
      <w:r>
        <w:t>GE Cour de justice, 2020-03-03, FR</w:t>
      </w:r>
    </w:p>
    <w:p>
      <w:r>
        <w:rPr>
          <w:b/>
        </w:rPr>
        <w:t xml:space="preserve">Quelle: </w:t>
      </w:r>
      <w:r>
        <w:t>https://mcp.opencaselaw.ch/entscheid/ge_gerichte_ATAS_186_2020</w:t>
      </w:r>
    </w:p>
    <w:p>
      <w:r>
        <w:t>FR: GE_GERICHTE ATAS/186/2020 du 3 mars 2020</w:t>
      </w:r>
    </w:p>
    <w:p>
      <w:r>
        <w:t>IT: GE_GERICHTE ATAS/186/2020 del 3 marzo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prescrits par la loi, le présent recours est recevable (art. 56 à 61 LPGA). En particulier, les conclusions, malgré leur formulation, seront interprétées comme tendant à la poursuite du versement de prestations d'invalidité. Elles sont ainsi de nature condamnatoire et non constatatoire, et elles sont partant recevables (cf. ATF 129 V 289 consid. 2.1).</w:t>
      </w:r>
    </w:p>
    <w:p>
      <w:r>
        <w:rPr>
          <w:b/>
        </w:rPr>
        <w:t>E. 3</w:t>
      </w:r>
    </w:p>
    <w:p>
      <w:r>
        <w:t>Le litige porte sur le point de savoir si c’est à bon droit que l’intimé a réduit la rente du recourant.</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 arrêt du Tribunal fédéral 9C_818/2015 du 22 mars 2016 consid. 2.2).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w:t>
      </w:r>
    </w:p>
    <w:p>
      <w:r>
        <w:t>A/2620/2019 - 14/18 - été considérée comme une base de comparaison déterminante (arrêt du Tribunal fédéral 9C_123/2011 du 7 novembre 2011 consid. 4).</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w:t>
      </w:r>
    </w:p>
    <w:p>
      <w:r>
        <w:t>A/2620/2019 - 15/18 -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(arrêt du Tribunal fédéral 8C_115/2012 du 14 janvier 2013 consid. 4.2).</w:t>
      </w:r>
    </w:p>
    <w:p>
      <w:r>
        <w:rPr>
          <w:b/>
        </w:rPr>
        <w:t>E. 7</w:t>
      </w:r>
    </w:p>
    <w:p>
      <w:r>
        <w:t>En l’espèce, l’intimé a fondé sa décision initiale octroyant une rente entière au recourant sur les conclusions de l’expertise réalisée en octobre 2013 par les Drs D______, F______ et E______, dont la Dresse G______ du SMR a admis la force probante. Il convient de relever que le rapport établi par ces experts est en tous points conforme aux exigences dégagées par la jurisprudence en matière de valeur probante de rapports médicaux, dès lors qu’ils ont étudié le dossier du recourant, qu’ils l’ont interrogé sur ses plaintes et son anamnèse, et que leurs conclusions reposent sur des examens cliniques complétés par l’analyse des documents d’imagerie. On notera que l’incapacité de travail totale retenue repose tant sur l’épilepsie que les troubles cognitifs objectivés par les experts. La décision dont est recours repose quant à elle sur les conclusions du Dr H______. Or, ce dernier fait remonter l’amélioration qu’il retient au 1er août 2012, en référence aux certificats du Dr B______, soit à une période antérieure à l’évaluation des premiers experts. Partant, cette deuxième expertise ne constitue en réalité qu’une appréciation différente d’un même état de fait au sens de la jurisprudence. Le Dr H______ souligne du reste lui-même l’absence de changements dans les diagnostics et le status clinique par rapport à la première expertise. Partant, son appréciation ne justifie pas une révision du droit à la rente, sans même qu’il soit nécessaire d’examiner sa valeur probante. De plus, la non-prise en compte de troubles cognitifs, désormais imputés à un défaut d’effort du recourant par M. I______, consiste également en une appréciation différente d’un même état de fait par rapport à l’évaluation des experts en 2013. En effet, aucune amélioration n’est décrite, et a fortiori datée, sur ce plan. On notera du reste que sur le fond, le rapport de M. I______ n’est pas dénué de</w:t>
      </w:r>
    </w:p>
    <w:p>
      <w:r>
        <w:t>A/2620/2019 - 16/18 - contradictions. En effet, ce neuropsychologue mentionne par exemple une discrépance entre les déficits de mémoire lors des tests et dans l’historique récent rapporté par le recourant, alors même que ce dernier n’a pu dater correctement la consultation du Dr H______ et a éprouvé plusieurs autres difficultés dans ce registre. Par ailleurs, en tant qu’il affirme que le tableau neuropsychologique ne peut être lié à un trouble organique cérébral, M. I______ semble méconnaître l’existence d’une atrophie fronto-pariéto-occipitale unilatérale gauche très sévère de la région pariétale gauche, de nature à entraîner des troubles cognitifs selon le Dr B______. Le Dr J______ du SMR a certes corrigé la date d’amélioration de l’état de santé retenue par l’expert, qu’il a différée à novembre 2017 en référence aux notes de consultation établies à cette époque par le Dr B______. Un tel procédé ne saurait cependant convaincre. En effet, la force probante d’une expertise établie dans le cadre d’une révision dépend essentiellement du fait qu’elle se prononce de manière suffisante sur la modification notable de l’état de santé d’un assuré (arrêts du Tribunal fédéral 8C_481/2013 du 7 novembre 2013 consid. 2.3 et 9C_418/2010 du 29 août 2011 consid. 4.2). Il n’est ainsi pas cohérent de reconnaître la valeur probante de l’expertise du Dr H______ en tant qu’elle conclut à la survenance d’une amélioration de l’état de santé du recourant, tout en s’en écartant s’agissant de la date de l’amélioration retenue. Du reste, selon la jurisprudence, les avis du SMR, qui ne contiennent aucune observation clinique faute d’examen de l’assuré, se distinguent des expertises ou des examens médicaux. Ils ont pour fonction d’opérer la synthèse des renseignements médicaux recueillis, de prendre position à leur sujet et de prodiguer des recommandations quant à la suite à donner au dossier sur le plan médical (arrêt du Tribunal fédéral 9C_10/2017 du 27 mars 2017 consid. 5.1). En outre, en toute hypothèse, les notes du Dr B______ de novembre 2017 ne suffisent pas à retenir une amélioration. Il en ressort certes que la fréquence des crises épileptiques et leur intensité ont diminué. Cela étant, comme on l’a vu, ces crises ne sont pas le seul facteur influant sur la capacité de gain du recourant, que les premiers experts estimaient nulle également en raison des troubles cognitifs, dont l’importance a aussi été soulignée dans l’avis du SMR du 25 février 2014. Par ailleurs, le Dr B______ n’a en réalité pas inféré d’amélioration de la capacité de gain du fait de la diminution des crises, puisque la capacité de travail de 50 % dans un travail de bureau attestée en mai 2016 correspond à son appréciation de la capacité de travail dans une activité adaptée en juillet 2012, avant que les premiers experts ne se prononcent. Ainsi, les seuls rapports de ce praticien ne permettent pas de conclure au degré de la vraisemblance prépondérante à une amélioration déterminante de l’état de santé du recourant.</w:t>
      </w:r>
    </w:p>
    <w:p>
      <w:r>
        <w:rPr>
          <w:b/>
        </w:rPr>
        <w:t>E. 8</w:t>
      </w:r>
    </w:p>
    <w:p>
      <w:r>
        <w:t>Compte tenu de ce qui précède, on ne saurait admettre que l’état de santé ou la capacité de gain du recourant a connu un changement influant sur le droit aux prestations depuis la décision initiale d’octroi de rente de l’intimé.</w:t>
      </w:r>
    </w:p>
    <w:p>
      <w:r>
        <w:t>A/2620/2019 - 17/18 - Lorsqu’une modification notable de l’état de fait n’est pas démontrée au degré de la vraisemblance prépondérante, eu égard aux principes en matière de fardeau de la preuve, il faut s’en tenir à la situation juridique qui prévalait jusque-là (ATF 141 V 405 consid. 4.4 ; arrêts du Tribunal fédéral 9C_418/2010 du 29 août 2011 consid. 3.1 et 8C_549/2012 du 12 décembre 2012 consid. 2). Vu ce qui précède, un complément d’instruction s’avère inutile. Partant, la décision de l’intimé sera annulée.</w:t>
      </w:r>
    </w:p>
    <w:p>
      <w:r>
        <w:rPr>
          <w:b/>
        </w:rPr>
        <w:t>E. 9</w:t>
      </w:r>
    </w:p>
    <w:p>
      <w:r>
        <w:t>Le recours est admis. Le recourant a droit à des dépens, qui seront fixés à CHF 2'000.- (art. 61 let. g LPGA). La procédure en matière d’octroi de prestations de l’assurance-invalidité n’étant pas gratuite (art. 69 al. 1bis LAI), l’intimé supporte l’émolument de procédure de CHF 1'000.-. * * * * * *</w:t>
      </w:r>
    </w:p>
    <w:p>
      <w:r>
        <w:t>A/2620/2019 - 18/18 -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