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ATAS/186/2012 vom 21. Februar 2012</w:t>
      </w:r>
    </w:p>
    <w:p>
      <w:r>
        <w:t>GE Cour de justice, 2012-02-21, FR</w:t>
      </w:r>
    </w:p>
    <w:p>
      <w:r>
        <w:rPr>
          <w:b/>
        </w:rPr>
        <w:t xml:space="preserve">Quelle: </w:t>
      </w:r>
      <w:r>
        <w:t>https://mcp.opencaselaw.ch/entscheid/ge_gerichte_ATAS_186_2012</w:t>
      </w:r>
    </w:p>
    <w:p>
      <w:r>
        <w:t>FR: GE_GERICHTE ATAS/186/2012 du 21 février 2012</w:t>
      </w:r>
    </w:p>
    <w:p>
      <w:r>
        <w:t>IT: GE_GERICHTE ATAS/186/2012 del 21 febbraio 2012</w:t>
      </w:r>
    </w:p>
    <w:p>
      <w:pPr>
        <w:pStyle w:val="Heading2"/>
      </w:pPr>
      <w:r>
        <w:t>Erwägungen</w:t>
      </w:r>
    </w:p>
    <w:p>
      <w:r>
        <w:rPr>
          <w:b/>
        </w:rPr>
        <w:t>E. 20</w:t>
      </w:r>
    </w:p>
    <w:p>
      <w:r>
        <w:t>décembre 1946 (LAVS; RS 831.10) ; Que depuis le 1er janvier 2011, cette compétence est revenue à la Chambre des assurances sociales de la Cour de justice, laquelle reprend la procédure pendante devant le Tribunal cantonal des assurances sociales (art. 143 al. 6 de la LOJ du 26 septembre 2010) ; Que sa compétence pour juger du cas d’espèce est ainsi établie ; Qu'il convient de constater que la Caisse ne subit plus de dommage, l'appelé en cause s'étant acquitté du solde dû ; que le recours interjeté le 25 juin 2009 contre la décision sur opposition du 26 mai 2009 est dès lors devenu sans objet ; Que conformément à la jurisprudence constante du Tribunal fédéral des assurances, le recourant a droit à des dépens, même lorsque la procédure est sans objet, pour autant que les chances de succès du procès le justifient (ATF 110 V 57 consid. 2a); Qu'en l'espèce, l'issue de la procédure, si l'appelé en cause n'avait pas finalement payé la totalité des cotisations AVS/AI dues par la société et représentant le dommage subi par la Caisse, n'aurait pas été nécessairement en faveur du recourant ; qu'il ne se justifie pas dans ces conditions de lui octroyer des dépens ;</w:t>
      </w:r>
    </w:p>
    <w:p>
      <w:r>
        <w:t>A/2222/2009 - 4/4 - PAR CES MOTIFS, LA CHAMBRE DES ASSURANCES SOCIALES : 1. Constate que le recours est devenu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