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ATAS/186/2010 vom 24. Februar 2010</w:t>
      </w:r>
    </w:p>
    <w:p>
      <w:r>
        <w:t>GE Cour de justice, 2010-02-24, FR</w:t>
      </w:r>
    </w:p>
    <w:p>
      <w:r>
        <w:rPr>
          <w:b/>
        </w:rPr>
        <w:t xml:space="preserve">Quelle: </w:t>
      </w:r>
      <w:r>
        <w:t>https://mcp.opencaselaw.ch/entscheid/ge_gerichte_ATAS_186_2010</w:t>
      </w:r>
    </w:p>
    <w:p>
      <w:r>
        <w:t>FR: GE_GERICHTE ATAS/186/2010 du 24 février 2010</w:t>
      </w:r>
    </w:p>
    <w:p>
      <w:r>
        <w:t>IT: GE_GERICHTE ATAS/186/2010 del 24 febbraio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les forme et délai prévus par la loi, le recours est à cet égard recevable (art. 56 et 60 LPGA).</w:t>
      </w:r>
    </w:p>
    <w:p>
      <w:r>
        <w:rPr>
          <w:b/>
        </w:rPr>
        <w:t>E. 4</w:t>
      </w:r>
    </w:p>
    <w:p>
      <w:r>
        <w:t>La décision litigieuse, bien qu’intitulée « refus de prestations », est en réalité, au vu de son dispositif et de ses considérants, une décision de non entrée en matière. Par</w:t>
      </w:r>
    </w:p>
    <w:p>
      <w:r>
        <w:t>A/2341/2008 - 7/9 - conséquent, l’objet du litige consiste à déterminer si c’est à bon droit que l’intimé n’est pas entré en matière sur la nouvelle demande du recourant.</w:t>
      </w:r>
    </w:p>
    <w:p>
      <w:r>
        <w:rPr>
          <w:b/>
        </w:rPr>
        <w:t>E. 5</w:t>
      </w:r>
    </w:p>
    <w:p>
      <w:r>
        <w:t>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Par contre, si l'administration entre en matière, elle doit instruire la cause et déterminer si la modification de l'invalidité s'est effectivement produite. En cas de recours, cet examen matériel incombe au juge (ATF 117 V 198 consid. 3a, 109 V 114 consid. 2b).</w:t>
      </w:r>
    </w:p>
    <w:p>
      <w:r>
        <w:rPr>
          <w:b/>
        </w:rPr>
        <w:t>E. 6</w:t>
      </w:r>
    </w:p>
    <w:p>
      <w:r>
        <w:t>En l’occurrence, à l’appui de sa nouvelle demande, le recourant a produit divers rapports médicaux qui justifieraient, selon lui, l’octroi d’une rente entière d’invalidité. Sur le plan somatique, le Dr C__________ fait état, pour l’essentiel, des mêmes diagnostics que les médecins ayant examiné le recourant dans le cadre de la première décision. Il mentionne, certes, encore d’autres diagnostics, ainsi qu’une aggravation subjective des plaintes douloureuses au fil des ans. Cependant, il reconnaît ne pas être à même de démontrer une aggravation probante de l’état de santé du patient. Quant à la capacité de travail, il a prescrit un arrêt de travail de 50 % qu’il justifie par la présence de multiples plaintes, par la conviction qu’il a que le patient est incapable de retravailler au vu de son état psychique actuel et du contexte global, mais surtout par la conviction du patient de ne pas pouvoir travailler. Les observations de l’atelier de réadaptation préprofessionnelle des HUG ne font pas état de faits nouveaux, mais concluent à un rendement diminué, le</w:t>
      </w:r>
    </w:p>
    <w:p>
      <w:r>
        <w:t>A/2341/2008 - 8/9 - patient étant déprimé. Le Dr D__________ ne se prononce pas quant à lui sur la capacité de travail du recourant et indique arriver au bout de la solution thérapeutique. Les diagnostics retenus par la Dresse G__________, à savoir un trouble somatoforme douloureux et un épisode dépressif moyen, sont déjà connus et n’apportent rien de nouveau par rapport à l’expertise du COMAI. Seule la capacité de travail résiduelle du recourant est appréciée différemment. Enfin, l’IRM s’est révélée dans les limites de la norme, sans pathologie rétro-cochléaire. Du point de vue psychiatrique, force est de constater que la Dresse E__________ ne fait pas état d’une aggravation de l’état de santé psychique du recourant et que le diagnostic de trouble dépressif récurrent était déjà connu. En définitive, le Tribunal de céans constate, au vu des documents produits, que le recourant n’a pas rendu plausible une aggravation de son état de santé. Par conséquent, c’est à juste titre que l’intimé n’est pas entré en matière sur la nouvelle demande de rente.</w:t>
      </w:r>
    </w:p>
    <w:p>
      <w:r>
        <w:rPr>
          <w:b/>
        </w:rPr>
        <w:t>E. 7</w:t>
      </w:r>
    </w:p>
    <w:p>
      <w:r>
        <w:t>Mal fondé, le recours est rejeté.</w:t>
      </w:r>
    </w:p>
    <w:p>
      <w:r>
        <w:rPr>
          <w:b/>
        </w:rPr>
        <w:t>E. 8</w:t>
      </w:r>
    </w:p>
    <w:p>
      <w:r>
        <w:t>La décision litigieuse ne portant pas sur l’octroi ou le refus de prestations, il n’y a pas lieu à perception d’un émolument (cf. art. 69 al. 1bis LAI).</w:t>
      </w:r>
    </w:p>
    <w:p>
      <w:r>
        <w:t>A/2341/2008 - 9/9 -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