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ATAS/186/2009 vom 12. Februar 2009</w:t>
      </w:r>
    </w:p>
    <w:p>
      <w:r>
        <w:t>GE Cour de justice, 2009-02-12, FR</w:t>
      </w:r>
    </w:p>
    <w:p>
      <w:r>
        <w:rPr>
          <w:b/>
        </w:rPr>
        <w:t xml:space="preserve">Quelle: </w:t>
      </w:r>
      <w:r>
        <w:t>https://mcp.opencaselaw.ch/entscheid/ge_gerichte_ATAS_186_2009</w:t>
      </w:r>
    </w:p>
    <w:p>
      <w:r>
        <w:t>FR: GE_GERICHTE ATAS/186/2009 du 12 février 2009</w:t>
      </w:r>
    </w:p>
    <w:p>
      <w:r>
        <w:t>IT: GE_GERICHTE ATAS/186/2009 del 12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w:t>
      </w:r>
    </w:p>
    <w:p>
      <w:r>
        <w:t>A/565/2008 - 13/17 -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Conformément au principe selon lequel les règles applicables sont celles en vigueur au moment où les faits juridiquement déterminants se sont produits (ATF 30 V 445), le droit litigieux est régi par l’ancien droit en vigueur jusqu'au 31 décembre 2002, pour la période courant jusqu'à cette date, et par les nouvelles dispositions introduites par la LPGA, pour la période postérieure. La question ne revêt toutefois pas une grande importance car les modifications légales contenues dans la LPGA constituent, en règle générale, une version formalisée dans la loi, de la jurisprudence relative aux notions correspondantes avant l'entrée en vigueur de la LPGA (ATF 130 V 343 consid. 3). Les règles de procédure prévues par la LPGA s'appliquent sans réserve dès le jour de son entrée en vigueur (ATF 117 V 93 consid. 6b, 112 V 360 consid. 4a; RAMA 1998 KV 37 p. 316 consid. 3b).</w:t>
      </w:r>
    </w:p>
    <w:p>
      <w:r>
        <w:rPr>
          <w:b/>
        </w:rPr>
        <w:t>E. 3</w:t>
      </w:r>
    </w:p>
    <w:p>
      <w:r>
        <w:t>Déposé au Tribunal cantonal des assurances sociales le 22 février 2008, le recours contre la décision de l’OCAI du 24 janvier 2008 intervient en temps utile (art. 60 al. 1 LPGA). Les autres conditions prévues par les art. 56 et ss LPGA étant réalisées, le recours est recevable.</w:t>
      </w:r>
    </w:p>
    <w:p>
      <w:r>
        <w:rPr>
          <w:b/>
        </w:rPr>
        <w:t>E. 4</w:t>
      </w:r>
    </w:p>
    <w:p>
      <w:r>
        <w:t>Il convient en premier lieu d’examiner l’argument du recourant selon lequel la demande de prestations du 26 octobre 2006 devrait être considérée comme une révocation de sa renonciation au sens de l’article 23 LPGA. En effet, si cette argumentation devait être admise, l’examen des autres griefs se révèlerait inutile.</w:t>
      </w:r>
    </w:p>
    <w:p>
      <w:r>
        <w:rPr>
          <w:b/>
        </w:rPr>
        <w:t>E. 5</w:t>
      </w:r>
    </w:p>
    <w:p>
      <w:r>
        <w:t>L'art. 23 al. 1 LPGA prévoit qu'un ayant droit peut renoncer à des prestations qui lui sont dues. La renonciation et la révocation doivent faire l'objet d'une déclaration écrite. La renonciation peut être révoquée en tout temps pour l’avenir. Elles sont nulles lorsqu'elles sont préjudiciables aux intérêts d'autrui ou tendent à éluder des dispositions légales (art 23 al. 2 LPGA). L’assureur confirme par écrit à l’ayant droit la renonciation et la révocation. L’objet, l’étendue et les suites de la renonciation et de la révocation doivent être mentionnés dans la confirmation (art. 23 al. 3 LPGA). Selon la doctrine, la renonciation par actes concluants admise antérieurement à l’entrée en vigueur de la LPGA par la jurisprudence, en particulier lorsque la personne assurée ne fait pas valoir ses droits dans un délai convenable n’est plus admise. L’ayant droit peut renoncer à des prestations qui lui sont dues mais non à</w:t>
      </w:r>
    </w:p>
    <w:p>
      <w:r>
        <w:t>A/565/2008 - 14/17 - des prestations futures. La renonciation demeure révocable pour l’avenir, pour autant qu’elle s’exerce conformément au principe de la bonne foi. Elle peut intervenir en tout temps et n’est pas subordonnée aux conditions de la révision ou de la reconsidération des décisions administratives. La renonciation n’est pas sujette à une décision, mais à une confirmation de l’assureur, laquelle confirmation n’a pas d’effet constitutif. On doit toutefois admettre, pour des motifs de sécurité du droit, que la confirmation a le caractère d’une décision, pour autant qu’elle porte sur des prestations importantes. (Ghislaine FRESARD-FELLAY, Les relations entre la loi fédérale sur la partie générale du droit des assurances sociales et la loi fédérale sur l’assurance-accidents, in : RSAS 3/2003, p. 243 et 244)</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consid 1.2)</w:t>
      </w:r>
    </w:p>
    <w:p>
      <w:r>
        <w:rPr>
          <w:b/>
        </w:rPr>
        <w:t>E. 7</w:t>
      </w:r>
    </w:p>
    <w:p>
      <w:r>
        <w:t>En l’espèce, il est établi que la procédure de révision entamée par projet de décision du 11 septembre 2001 n’a jamais été menée jusqu'à son terme et aucune décision portant sur la révision du droit à la rente du recourant n’a été notifiée à ce dernier. Au contraire, les deux parties ont admis en cours de procédure que la renonciation du 12 janvier 2004, confirmée par l’OCAI le 28 avril 2004 était valable. De</w:t>
      </w:r>
    </w:p>
    <w:p>
      <w:r>
        <w:t>A/565/2008 - 15/17 - surcroît, il faut constater que la confirmation par l’OCAI de la renonciation est intervenue en toute connaissance de cause, puisque l’OCAI-VS avait émis des réserves et interrogé l’OFAS à ce sujet, ce que l’OCAI ne pouvait ignorer. C’est ainsi que les parties ont fait application du dispositif prévu par l’article 23 LPGA. Rien ne permet d’établir que la renonciation serait intervenue de manière contraire aux règles de la bonne foi, serait préjudiciables aux intérêts d'autrui, ou encore éluderait des dispositions légales. L’intimé ne le fait d’ailleurs pas valoir. Par ailleurs, dans le cadre de l’application de dispositions sociales prévoyant une procédure simple et rapide, de même que des incombances à l’assureur social, notamment s’agissant de l’établissement des faits, il apparaît au Tribunal que la nouvelle demande présentée par le recourant devait manifestement être comprise comme une révocation de sa renonciation. Il ne faut en effet pas perdre de vue qu’à cette époque le recourant n’était pas assisté d’un avocat et qu’il souffre d’un retard mental, alors qu’à l’inverse l’OCAI disposait du dossier complet (dont il ressortait que le recourant avait renoncé à la rente en application de l’article 23 LPGA) et emploie des juristes. Le recourant a ainsi valablement révoqué sa renonciation, de sorte que depuis lors, soit dès le 1er novembre 2006, il doit être rétabli dans son ancien droit à la rente. Le Tribunal souligne qu’une telle solution se justifie également par la systématique légale, plus particulièrement les dispositions relatives au dépôt d’une nouvelle demande et à la révision de la rente. La modification de la situation existante nécessite, en effet, un changement notable dans les faits, soit en particulier dans l’état de santé de l’assuré et/ou de la répercussion dudit état de santé sur sa capacité de gain, depuis la décision initiale. C’est ainsi bien plutôt à l’intimé qu’il appartient, en l’espèce, de démontrer un changement notable par rapport à la situation prévalant lors de la décision du 13 octobre 1998, ceci conformément aux dispositions légales susmentionnées. A ce sujet, il apparaît qu’un tel changement notable est douteux ou à tout le moins non établi. Il convient de rappeler que la décision du 13 octobre 1998 se fonde sur un état de fait médical qui ne semble pas s’être modifié, à tout le moins dans le sens d’une amélioration. En effet, selon l’avis du Dr R________ du SMR du 2 avril 2008, les pathologies du recourant sont génétiques et non évolutives, à l’exception de l’état dépressif d’accompagnement. Par ailleurs, du point de vue de la capacité de gain, la décision initiale avait tenu compte de la capacité de réaliser un certain revenu susceptible d’économiser des prestations complémentaires, mais pas une rente d’invalidité. Il appartiendra toutefois à l’OCAI d’instruire ces éléments de faits, pour le cas où il souhaiterait procéder à la révision du droit à la rente du recourant.</w:t>
      </w:r>
    </w:p>
    <w:p>
      <w:r>
        <w:t>A/565/2008 - 16/17 -</w:t>
      </w:r>
    </w:p>
    <w:p>
      <w:r>
        <w:rPr>
          <w:b/>
        </w:rPr>
        <w:t>E. 8</w:t>
      </w:r>
    </w:p>
    <w:p>
      <w:r>
        <w:t>Le recours sera ainsi admis, la décision litigieuse annulée et le dossier renvoyé à l’OCAI pour le calcul et l’octroi des prestations dues, soit une rente extraordinaire simple, dès le 1er novembre 2006.</w:t>
      </w:r>
    </w:p>
    <w:p>
      <w:r>
        <w:rPr>
          <w:b/>
        </w:rPr>
        <w:t>E. 9</w:t>
      </w:r>
    </w:p>
    <w:p>
      <w:r>
        <w:t>Le recourant obtenant gain de cause, une indemnité de 2'500 fr. lui est octroyée, à titre de dépens.</w:t>
      </w:r>
    </w:p>
    <w:p>
      <w:r>
        <w:rPr>
          <w:b/>
        </w:rPr>
        <w:t>E. 10</w:t>
      </w:r>
    </w:p>
    <w:p>
      <w:r>
        <w:t>Un émolument de 500 fr. est mis à charge de l’intimé, qui succombe (art. 69 al. 1bis LAI)</w:t>
      </w:r>
    </w:p>
    <w:p>
      <w:r>
        <w:t>A/565/2008 - 17/17 -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