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ATAS/185/2023 vom 21. März 2023</w:t>
      </w:r>
    </w:p>
    <w:p>
      <w:r>
        <w:t>GE Cour de justice, 2023-03-21, FR</w:t>
      </w:r>
    </w:p>
    <w:p>
      <w:r>
        <w:rPr>
          <w:b/>
        </w:rPr>
        <w:t xml:space="preserve">Quelle: </w:t>
      </w:r>
      <w:r>
        <w:t>https://mcp.opencaselaw.ch/entscheid/ge_gerichte_ATAS_185_2023</w:t>
      </w:r>
    </w:p>
    <w:p>
      <w:r>
        <w:t>FR: GE_GERICHTE ATAS/185/2023 du 21 mars 2023</w:t>
      </w:r>
    </w:p>
    <w:p>
      <w:r>
        <w:t>IT: GE_GERICHTE ATAS/185/2023 del 21 marzo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w:t>
      </w:r>
    </w:p>
    <w:p>
      <w:r>
        <w:rPr>
          <w:b/>
        </w:rPr>
        <w:t>E. 1.1</w:t>
      </w:r>
    </w:p>
    <w:p>
      <w:r>
        <w:t>Le contrat d'assurance d'indemnités journalières en cas de maladie couvrant le risque de perte de gain, soumis à la LCA, relève de l'assurance complémentaire à l'assurance-maladie sociale (arrêts du Tribunal fédéral 4A_47/2012 du 12 mars 2012 consid. 2; 4A_118/2011 du 11 octobre 2011 consid. 1.3 et les références citées).</w:t>
      </w:r>
    </w:p>
    <w:p>
      <w:r>
        <w:rPr>
          <w:b/>
        </w:rPr>
        <w:t>E. 1.2</w:t>
      </w:r>
    </w:p>
    <w:p>
      <w:r>
        <w:t>Selon l'art. 1.5 des conditions générales d'assurance, édition 2018 (ci-après: CGA), auxquelles renvoie la police d'assurance perte de salaire due à une maladie (AL208634), le contrat d'assurance est régi notamment par la LCA. La compétence de la chambre de céans à raison de la matière pour juger du cas d’espèce est ainsi établie.</w:t>
      </w:r>
    </w:p>
    <w:p>
      <w:r>
        <w:rPr>
          <w:b/>
        </w:rPr>
        <w:t>E. 2</w:t>
      </w:r>
    </w:p>
    <w:p>
      <w:r>
        <w:t>L'art. 46a LCA, dans sa teneur en vigueur du 1er janvier 2006 au 31 décembre 2021 ‒ disposition qui a été abrogée lors de la révision de la LCA entrée en vigueur le 1er janvier 2022 (Message du Conseil fédéral concernant la révision de la LCA du 28 juin 2017, FF 2017 4767 p. 4800) ‒, prescrivait que le for se définissait selon la loi du 24 mars 2000 sur les fors (LFors) qui a été abrogée au</w:t>
      </w:r>
    </w:p>
    <w:p>
      <w:r>
        <w:t>A/818/2022 - 6/12 - 1er janvier 2011 par l’entrée en vigueur du CPC, auquel il convient donc de se référer.</w:t>
      </w:r>
    </w:p>
    <w:p>
      <w:r>
        <w:rPr>
          <w:b/>
        </w:rPr>
        <w:t>E. 2.1</w:t>
      </w:r>
    </w:p>
    <w:p>
      <w:r>
        <w:t>Sauf disposition contraire du CPC, pour les actions dirigées contre les personnes morales, le for est celui de leur siège (art. 10 al. 1 let. b CPC), étant précisé que l’art. 17 al. 1 CPC consacre la possibilité d’une élection de for écrite.</w:t>
      </w:r>
    </w:p>
    <w:p>
      <w:r>
        <w:rPr>
          <w:b/>
        </w:rPr>
        <w:t>E. 2.2</w:t>
      </w:r>
    </w:p>
    <w:p>
      <w:r>
        <w:t>En l’occurrence, l’art. 10.3 des CGA prévoit que, en cas de litige découlant du contrat d'assurance, la partie plaignante peut saisir au choix soit le tribunal de son lieu de domicile en Suisse, soit le tribunal de son lieu de travail en Suisse, soit le tribunal de Bâle-Ville (siège de la défenderesse). La demanderesse, en sa qualité d'assurée, ayant son domicile dans le canton de Genève, la chambre de céans est compétente à raison du lieu pour connaître du présent contentieux.</w:t>
      </w:r>
    </w:p>
    <w:p>
      <w:r>
        <w:rPr>
          <w:b/>
        </w:rPr>
        <w:t>E. 3</w:t>
      </w:r>
    </w:p>
    <w:p>
      <w:r>
        <w:t>Selon l'art. 87 LCA, abrogé avec effet au 1er janvier 2022, et remplacé par l'art. 95a LCA depuis lors (RO 2020 4969), l’assurance collective contre les accidents ou la maladie donne au bénéficiaire, dès qu’un accident ou une maladie est survenu, un droit propre contre l’entreprise d’assurance.</w:t>
      </w:r>
    </w:p>
    <w:p>
      <w:r>
        <w:rPr>
          <w:b/>
        </w:rPr>
        <w:t>E. 3.1</w:t>
      </w:r>
    </w:p>
    <w:p>
      <w:r>
        <w:t>L'employeur en tant que preneur d'assurance et la défenderesse en qualité d'assureur ont conclu un contrat collectif d'indemnité journalière selon la LCA. Par cette convention, la demanderesse était couverte contre le risque de perte de salaire due à la maladie. En matière d'assurance collective contre la maladie, l'art. 95a LCA (ex-art. 87 LCA) ‒ de nature impérative (cf. art. 98 LCA) ‒ confère un droit propre à l'assuré, qu'il peut faire valoir contre l'assureur (ATF 141 III 112 consid. 4.3). Par conséquent, la demanderesse est fondée à agir à l'encontre de la défenderesse.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5</w:t>
      </w:r>
    </w:p>
    <w:p>
      <w:r>
        <w:t>Selon l'art. 59 CPC, le tribunal n'entre en matière que sur les demandes qui satisfont aux conditions de recevabilité de l'action. Ces conditions sont examinées d'office (art. 60 CPC).</w:t>
      </w:r>
    </w:p>
    <w:p>
      <w:r>
        <w:rPr>
          <w:b/>
        </w:rPr>
        <w:t>E. 5.1</w:t>
      </w:r>
    </w:p>
    <w:p>
      <w:r>
        <w:t>L'art. 84 al. 2 CPC prescrit que l'action tendant au paiement d'une somme d'argent doit être chiffrée. Il s'agit d'une condition de recevabilité, que le juge doit examiner d'office (arrêt du Tribunal fédéral 4A_235/2016 du 7 mars 2017 consid. 2.1). Selon l'art. 85 al. 1 CPC, si le demandeur est dans l'impossibilité d'articuler d'entrée de cause le montant de sa prétention ou si cette indication ne peut être exigée d'emblée, il peut intenter une action non chiffrée. Il doit cependant indiquer</w:t>
      </w:r>
    </w:p>
    <w:p>
      <w:r>
        <w:t>A/818/2022 - 7/12 - une valeur minimale comme valeur litigieuse provisoire. Cette exception vaut en particulier lorsque seule la procédure probatoire permet de fonder une créance chiffrée; le demandeur est alors autorisé à chiffrer ses conclusions après l'administration des preuves (ATF 140 III 409 consid. 4.3.1 et les réf. citées). Il incombe au demandeur qui formule une conclusion en paiement non chiffrée de démontrer dans quelle mesure il n'est pas possible, ou du moins pas exigible d'indiquer d'entrée de cause le montant de sa prétention (ATF 140 III 409 consid. 4.3.2).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arrêt du Tribunal fédéral 4A_107/2008 du 5 juin 2008 consid. 2.2).</w:t>
      </w:r>
    </w:p>
    <w:p>
      <w:r>
        <w:rPr>
          <w:b/>
        </w:rPr>
        <w:t>E. 5.2</w:t>
      </w:r>
    </w:p>
    <w:p>
      <w:r>
        <w:t>En l'espèce, dans son acte du 10 mars 2022, la demanderesse a indiqué former un « recours contre la décision de Sympany » du 4 février 2022, lui refusant l'octroi d'indemnités journalières en lien avec l'incapacité de travail consécutive au cancer du sein gauche. Or, dans un litige régi par la LCA, la contestation d'une décision de l'assureur privé implique la voie de l'action en justice et non pas celle du recours (ATAS/16/2006 du 10 janvier 2006 consid. 4). Il convient donc de considérer que la demanderesse a déposé par devant la chambre de céans une demande en paiement, qualifiée improprement de recours. Ceci dit, la conclusion prise par la demanderesse vise simplement à la condamnation de la défenderesse à lui verser 90 jours supplémentaires d'indemnités journalières au titre de l'assurance collective. Cette conclusion qui tend au paiement d'une somme d'argent n'est pas chiffrée. Le montant des indemnités journalières souhaitées ne ressort pas clairement des allégations ou arguments de la demanderesse contenus dans son mémoire du</w:t>
      </w:r>
    </w:p>
    <w:p>
      <w:r>
        <w:rPr>
          <w:b/>
        </w:rPr>
        <w:t>E. 10</w:t>
      </w:r>
    </w:p>
    <w:p>
      <w:r>
        <w:t>juin 2021. A fortiori, la créance était également prescrite à la signature de cette seconde déclaration. 8. Au vu de ce qui précède, la demande du 10 mars 2022 est rejetée, dans la mesure de sa recevabilité. 9.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A/818/2022 - 12/12 -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