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ATAS/185/2018 vom 6. März 2018</w:t>
      </w:r>
    </w:p>
    <w:p>
      <w:r>
        <w:t>GE Cour de justice, 2018-03-06, FR</w:t>
      </w:r>
    </w:p>
    <w:p>
      <w:r>
        <w:rPr>
          <w:b/>
        </w:rPr>
        <w:t xml:space="preserve">Quelle: </w:t>
      </w:r>
      <w:r>
        <w:t>https://mcp.opencaselaw.ch/entscheid/ge_gerichte_ATAS_185_2018</w:t>
      </w:r>
    </w:p>
    <w:p>
      <w:r>
        <w:t>FR: GE_GERICHTE ATAS/185/2018 du 6 mars 2018</w:t>
      </w:r>
    </w:p>
    <w:p>
      <w:r>
        <w:t>IT: GE_GERICHTE ATAS/185/2018 del 6 marzo 2018</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avant l'entrée en vigueur, le 1er janvier 2017, des nouvelles dispositions relatives au partage de la prévoyance professionnelle en cas de divorce, il y a lieu d'appliquer les dispositions légales dans leur ancienne teneur (art. 7d Tit. fin. CC).</w:t>
      </w:r>
    </w:p>
    <w:p>
      <w:r>
        <w:t>A/2381/2017 4/6</w:t>
      </w:r>
    </w:p>
    <w:p>
      <w:r>
        <w:rPr>
          <w:b/>
        </w:rPr>
        <w:t>E. 1.5</w:t>
      </w:r>
    </w:p>
    <w:p>
      <w:r>
        <w:t>% de 2012 à 2013, 1.75 % de 2014 à 2015, 1.25 % en 2016 et 1 % dès le 1er janvier 2017. Par conséquent, les intérêts dus à la demanderesse sur la somme de CHF 5'414.75 existant au jour du mariage se montent à CHF 1'210.45. L’avoir au jour du mariage, intérêts compris au 31 mars 2016, s’élève donc à CHF 6'625.20.</w:t>
      </w:r>
    </w:p>
    <w:p>
      <w:r>
        <w:rPr>
          <w:b/>
        </w:rPr>
        <w:t>E. 2</w:t>
      </w:r>
    </w:p>
    <w:p>
      <w:r>
        <w:t>L'art. 25a de la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en cas de divorce, les prestations de sortie acquises durant le mariage sont partagées conformément aux art. 122 et 123 CC et aux art. 280 et 281 CPC ;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w:t>
      </w:r>
    </w:p>
    <w:p>
      <w:r>
        <w:rPr>
          <w:b/>
        </w:rPr>
        <w:t>E. 5</w:t>
      </w:r>
    </w:p>
    <w:p>
      <w:r>
        <w:t>En l’espèce, le juge de première instance a ordonné le partage par moitié des prestations de sortie acquises durant le mariage par les demandeurs. Les dates pertinentes sont, d’une part, celle du mariage, le 27 janvier 2006, d’autre part le 31 mars 2016, date à laquelle les parties ont convenu d'arrêter la date du partage de leurs avoirs de prévoyance.</w:t>
      </w:r>
    </w:p>
    <w:p>
      <w:r>
        <w:rPr>
          <w:b/>
        </w:rPr>
        <w:t>E. 6</w:t>
      </w:r>
    </w:p>
    <w:p>
      <w:r>
        <w:t>Selon les documents produits, la prestation acquise pendant le mariage par le demandeur est de CHF 96'278.25 tandis que celle acquise par la demanderesse est de CHF 2'209.60 (CHF 8'834.80 – CHF 6'625.20), les intérêts ayant déjà été calculés par les institutions de prévoyance défenderesses. Ainsi, le demandeur doit à son ex-épouse le montant de CHF 48'139.12 (CHF 96'278.25 : 2) et celle-ci doit à celui-là le montant de CHF 1'104.80</w:t>
      </w:r>
    </w:p>
    <w:p>
      <w:r>
        <w:t>A/2381/2017 5/6 (CHF 2'209.60 : 2). C’est le demandeur qui doit à la demanderesse le montant de CHF 47'034.32 (CHF 48'139.12 – CHF 1'104.80).</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 ***</w:t>
      </w:r>
    </w:p>
    <w:p>
      <w:r>
        <w:t>A/2381/2017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