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ATAS/185/2015 vom 11. März 2015</w:t>
      </w:r>
    </w:p>
    <w:p>
      <w:r>
        <w:t>GE Cour de justice, 2015-03-11, FR</w:t>
      </w:r>
    </w:p>
    <w:p>
      <w:r>
        <w:rPr>
          <w:b/>
        </w:rPr>
        <w:t xml:space="preserve">Quelle: </w:t>
      </w:r>
      <w:r>
        <w:t>https://mcp.opencaselaw.ch/entscheid/ge_gerichte_ATAS_185_2015</w:t>
      </w:r>
    </w:p>
    <w:p>
      <w:r>
        <w:t>FR: GE_GERICHTE ATAS/185/2015 du 11 mars 2015</w:t>
      </w:r>
    </w:p>
    <w:p>
      <w:r>
        <w:t>IT: GE_GERICHTE ATAS/185/2015 del 11 marzo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S’agissant de la recevabilité du recours, la Cour de céans relève ce qui suit.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Les décisions préjudicielles et incidentes désignent toutes les décisions qui ne mettent pas un terme à la procédure et qui ne sont dès lors ni des décisions finales, ni des décisions partielles (ATF 133 V 477 consid. 4.1.3).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Au plan cantonal, l’art. 57 de la loi sur la procédure administrative du 12 septembre 1985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Dans un arrêt de principe portant notamment sur les droits de participation des assurés lors de la désignation d’un expert,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doit être considérée comme réalisée s’agissant d’une décision incidente portant sur une expertise (ATF 137 V 210 consid. 3.4.2.7).</w:t>
      </w:r>
    </w:p>
    <w:p>
      <w:r>
        <w:t>A/3099/2014 - 8/12 - Partant, le recours, interjeté dans les forme et délai prévus aux art. 56ss LPGA, est recevable.</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La décision incidente querellée statue sur la nécessité de mettre en œuvre une expertise auprès du Dr E______. En revanche, les autres questions – telles que le droit aux prestations – ne font pas l’objet de cette décision. Partant, seule la désignation de l’expert doit être examinée dans le cadre du présent litige. Il s’en suit qu’à ce stade de la procédure, les conclusions de la recourante portant sur d’autres points sont irrecevables.</w:t>
      </w:r>
    </w:p>
    <w:p>
      <w:r>
        <w:rPr>
          <w:b/>
        </w:rPr>
        <w:t>E. 4</w:t>
      </w:r>
    </w:p>
    <w:p>
      <w:r>
        <w:t>En vertu de l’art. 44 LPGA, si l'assureur doit recourir aux services d'un expert indépendant pour élucider les faits, il donne connaissance du nom de celui-ci aux parties. Celles-ci peuvent récuser l'expert pour des raisons pertinentes et présenter des contre-propositions. L’art. 36 LPGA précise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S'il s'agit de la récusation d'un membre d'un collège, la décision est rendue par le collège en l'absence de ce membre (al. 2).</w:t>
      </w:r>
    </w:p>
    <w:p>
      <w:r>
        <w:rPr>
          <w:b/>
        </w:rPr>
        <w:t>E. 5</w:t>
      </w:r>
    </w:p>
    <w:p>
      <w:r>
        <w:t>Selon la jurisprudence,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w:t>
      </w:r>
    </w:p>
    <w:p>
      <w:r>
        <w:t>A/3099/2014 - 9/12 -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Le fait que l'expert a déjà eu à se prononcer au cours d'une procédure dans laquelle une des parties était impliquée n'exclut pas sa nomination en qualité d'expert. La jurisprudence exige cependant que l'issue de la cause ne soit pas prédéterminée, mais qu'elle demeure au contraire indécise quant à la constatation des faits et à la résolution des questions juridiques (arrêt du Tribunal fédéral 9C_800/2013 du</w:t>
      </w:r>
    </w:p>
    <w:p>
      <w:r>
        <w:rPr>
          <w:b/>
        </w:rPr>
        <w:t>E. 7</w:t>
      </w:r>
    </w:p>
    <w:p>
      <w:r>
        <w:t>Eu égard à ce qui précède, la décision de l’intimée sera confirmée. La recourante, qui succombe, n’a pas droit à des dépens (art. 61 let. g LPGA). Pour le surplus, la procédure est gratuite (art. 61 let. a LPGA).</w:t>
      </w:r>
    </w:p>
    <w:p>
      <w:r>
        <w:t>A/3099/2014 - 12/12 -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