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ATAS/185/2014 vom 12. Februar 2014</w:t>
      </w:r>
    </w:p>
    <w:p>
      <w:r>
        <w:t>GE Cour de justice, 2014-02-12, FR</w:t>
      </w:r>
    </w:p>
    <w:p>
      <w:r>
        <w:rPr>
          <w:b/>
        </w:rPr>
        <w:t xml:space="preserve">Quelle: </w:t>
      </w:r>
      <w:r>
        <w:t>https://mcp.opencaselaw.ch/entscheid/ge_gerichte_ATAS_185_2014</w:t>
      </w:r>
    </w:p>
    <w:p>
      <w:r>
        <w:t>FR: GE_GERICHTE ATAS/185/2014 du 12 février 2014</w:t>
      </w:r>
    </w:p>
    <w:p>
      <w:r>
        <w:t>IT: GE_GERICHTE ATAS/185/2014 del 12 febbraio 2014</w:t>
      </w:r>
    </w:p>
    <w:p>
      <w:pPr>
        <w:pStyle w:val="Heading2"/>
      </w:pPr>
      <w:r>
        <w:t>Erwägungen</w:t>
      </w:r>
    </w:p>
    <w:p>
      <w:r>
        <w:rPr>
          <w:b/>
        </w:rPr>
        <w:t>E. 1</w:t>
      </w:r>
    </w:p>
    <w:p>
      <w:r>
        <w:t>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En l’espèce, d’une part, le recourant, actuellement domicilié en France, a eu son dernier domicile en Suisse dans le canton de Genève et d’autre part, la contestation porte sur une question relative à la LAMal, de sorte que la compétence de la Cour de céans pour juger du cas d’espèce est ainsi établie.</w:t>
      </w:r>
    </w:p>
    <w:p>
      <w:r>
        <w:rPr>
          <w:b/>
        </w:rPr>
        <w:t>E. 2</w:t>
      </w:r>
    </w:p>
    <w:p>
      <w:r>
        <w:t>Interjeté dans les formes et délai prévus par la loi, le présent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w:t>
      </w:r>
    </w:p>
    <w:p>
      <w:r>
        <w:rPr>
          <w:b/>
        </w:rPr>
        <w:t>E. 3</w:t>
      </w:r>
    </w:p>
    <w:p>
      <w:r>
        <w:t>Dès lors que les faits pertinents – soit le départ du recourant en France et la délivrance du livret G – remontent à l’année 2009, il conviendra d’appliquer les normes légales en vigueur à ce moment-là.</w:t>
      </w:r>
    </w:p>
    <w:p>
      <w:r>
        <w:rPr>
          <w:b/>
        </w:rPr>
        <w:t>E. 4</w:t>
      </w:r>
    </w:p>
    <w:p>
      <w:r>
        <w:t>Le litige porte sur l’affiliation du recourant auprès de l’intimée dès le 1er avril 2010.</w:t>
      </w:r>
    </w:p>
    <w:p>
      <w:r>
        <w:rPr>
          <w:b/>
        </w:rPr>
        <w:t>E. 5</w:t>
      </w:r>
    </w:p>
    <w:p>
      <w:r>
        <w:t>a) En vertu de l’art. 3 LAMal, toute personne domiciliée en Suisse doit s’assurer pour les soins en cas de maladie, ou être assurée par son représentant légal, dans les trois mois qui suivent sa prise de domicile ou sa naissance en Suisse (al. 1). Le Conseil fédéral peut étendre l’obligation de s’assurer à des personnes qui n’ont pas de domicile en Suisse, en particulier celles qui exercent une activité en Suisse ou y séjournent habituellement au sens de l’art. 13 al. 2 LPGA (al. 3 let. a).</w:t>
      </w:r>
    </w:p>
    <w:p>
      <w:r>
        <w:t>A/1378/2013 - 9/12 - Faisant usage de la compétence conférée à l'art. 3 al. 3 let. a LAMal, le Conseil fédéral a édicté notamment l'art. 1 al. 2 let.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l'art. 95a let. a LAMal. L'ALCP est entré en vigueur le 1er juin 2002. Selon l'art. 1 par. 1 de l'annexe II "Coordination des systèmes de sécurité sociale" de l'accord, fondée sur l'art.</w:t>
      </w:r>
    </w:p>
    <w:p>
      <w:r>
        <w:rPr>
          <w:b/>
        </w:rPr>
        <w:t>E. 8</w:t>
      </w:r>
    </w:p>
    <w:p>
      <w:r>
        <w:t>ALCP et faisant partie intégrante de celui-ci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Aux termes de l'art. 13 par. 2 let. a du règlement n° 1408/71, la personne qui exerce une activité salariée sur le territoire d’un Etat membre est en principe soumise à la législation de cet Etat, même si elle réside sur le territoire d’un autre Etat membre ou si l’entreprise ou l’employeur qui l’occupe a son siège ou son domicile sur le territoire d’un autre Etat membre.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à savoir, notamment, celles qui exercent une activité salariée sur le territoire d'un Etat membre (art. 13 par. 2 let. a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Cette demande doit être déposée dans les trois mois qui suivent la survenance de l’obligation de s’assurer en Suisse ; lorsque dans</w:t>
      </w:r>
    </w:p>
    <w:p>
      <w:r>
        <w:t>A/1378/2013 - 10/12 - les cas justifiés, la demande est déposée après ce délai, l’exemption déploie ses effets dès le début de l’assujettissement à l’assurance obligatoire (Annexe VI Suisse ch. 3 points b et aa au règlement n° 1408/71 dans sa version modifiée par la décision n° 2/2003 du Comité mixte UE-Suisse du 15 juillet 2003 portant modification de l'annexe II [sécurité sociale] à l'ALCP). Cette disposition est entrée en vigueur le 15 janvier 2003 avec effet au 1er juin 2002 (art. 2 de la décision n° 2/2003 du 15 juillet 2003). b) Conformément à l’art. 2 al. 6 OAMal, sont sur requête exceptées de l’obligation de s’assurer en Suisse pour l’AOS les personnes qui résident dans un Etat membre de la Communauté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la Communauté européenne et en Suisse d’une couverture en cas de maladie. D’après les art. 3 al. 1 et 7 al. 4 OAMal, les frontaliers qui ne sont pas tenus de s’assurer selon l’art. 1 al. 2 let. d et qui exercent en Suisse une activité lucrative, ainsi que les membres de leur famille, pour autant qu’ils n’exercent pas à l’étranger une activité lucrative impliquant l’assujettissement à une assurance-maladie obligatoire, sont soumis à l’assurance suisse sur requête de leur part, requête qui doit être déposée dans les trois mois suivant le début de la validité de l’autorisation pour frontaliers. S’ils s’assurent à temps, l’assurance déploie ses effets dès la date de la validité de l’autorisation. S’ils s’assurent plus tard, l’assurance déploie ses effets dès l’affiliation. c) L’autorité désignée par le canton affilie d’office les personnes qui n’ont pas donné suite à l’obligation de s’assurer en temps utile. Elle statue sur les demandes d’exception à l’obligation de s’assurer (art. 6a al. 3 LAMal). L’institution commune peut assumer, contre indemnisation, d’autres tâches d’exécution qui lui sont confiées par les cantons (art. 18 al. 2sexies LAMal). La demande d’exception à l’obligation de s’assurer doit être déposée auprès du canton dans lequel l’activité lucrative est exercée (http://www.kvg.org/fr/kantone/ grenzgaenger/default.htm; cf. art. 7 al. 4 OAMal). 6. En l’espèce, le recourant a quitté le canton de Genève durant l’année 2009 pour s’installer en France voisine, tout en continuant à travailler en Suisse. En particulier, il résulte du livret G pour étranger (autorisation frontalière) que celui-ci a été délivré en date du 6 juillet 2009. Il n’est pas contesté par le recourant que le canton compétent pour statuer sur sa demande d’exemption de son obligation d’être assuré en Suisse pour l’AOS est le canton d’Argovie. En effet, son livret G pour étranger (autorisation frontalière), a été délivré par le canton d’Argovie, attendu que l’activité lucrative était exercée auprès de X___________ à Aargau. Il sera toutefois remarqué que le siège de X___________ AG (X___________ SA) était dans le canton de Genève dès le 14</w:t>
      </w:r>
    </w:p>
    <w:p>
      <w:r>
        <w:t>A/1378/2013 - 11/12 - septembre 2006 et ce, jusqu’au 19 février 2013 (cf. extrait internet du registre du commerce de Genève). L’Argovie a délégué la compétence de statuer sur les demandes d’exemption à l’obligation d’assurance en Suisse à l’Institution commune LAMal (cf. « formulaire de déclaration pour les frontaliers et les membres de leur famille sans activité lucrative, devoir de s’assurer pour la maladie en Suisse » ; http://www.kvg.org/fr/kantone/default.htm; https://www.ag.ch/de/dgs/gesundheit/ gesundheitsversorgung/krankenversicherung/versicherungspflicht/versicherungspfli cht.jsp). C’est la raison pour laquelle le recourant a envoyé à l’Institution commune LAMal le formulaire lui permettant d’exercer son droit d’option durant le mois de septembre 2009. La Cour de céans constate dès lors qu’il n’est pas de la compétence de l’intimée, qui est un assureur suisse exerçant dans le domaine de l’AOS, de décider si le recourant peut être exempté de son obligation d’être assuré en Suisse pour l’assurance-maladie et s’il est susceptible d’exercer une seconde fois son droit d’option, mais que cette compétence revient à l’Institution commune LAMal sur délégation du canton d’Argovie, comme invoqué par l’intimée. Or, bien que l’Institution commune LAMal ait déclaré qu’elle ne retrouvait plus le courrier qu’elle a envoyé au recourant suite à la réception de son formulaire d’annonce en date du 10 septembre 2009, elle a considéré que le recourant avait renoncé à faire valoir son droit de choisir un assureur en France, de sorte qu’il devait rester assuré auprès d’un assureur suisse et lui a refusé, en date du 8 février 2010, l’exercice d’un nouveau droit d’option. Partant, dans la mesure où l’intimée a maintenu, dans la décision litigieuse, l’affiliation du recourant dès le 1er avril 2010 auprès d’elle eu égard à la position de l’Institution commune LAMal, sa décision ne peut être que confirmée. Si le recourant persiste à solliciter son exemption de l’assurance en Suisse, il doit s’adresser à l’Institution commune LAMal. 7. Le recours est ainsi rejeté. La procédure est gratuite (art. 61 let. a LPGA et 89H al. 1 de la loi sur la procédure administrative, du 12 septembre 1985 – LPA ; RSG E 5 10).</w:t>
      </w:r>
    </w:p>
    <w:p>
      <w:r>
        <w:t>A/1378/2013 - 12/12 -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