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ATAS/185/2013 vom 20. Februar 2013</w:t>
      </w:r>
    </w:p>
    <w:p>
      <w:r>
        <w:t>GE Cour de justice, 2013-02-20, FR</w:t>
      </w:r>
    </w:p>
    <w:p>
      <w:r>
        <w:rPr>
          <w:b/>
        </w:rPr>
        <w:t xml:space="preserve">Quelle: </w:t>
      </w:r>
      <w:r>
        <w:t>https://mcp.opencaselaw.ch/entscheid/ge_gerichte_ATAS_185_2013</w:t>
      </w:r>
    </w:p>
    <w:p>
      <w:r>
        <w:t>FR: GE_GERICHTE ATAS/185/2013 du 20 février 2013</w:t>
      </w:r>
    </w:p>
    <w:p>
      <w:r>
        <w:t>IT: GE_GERICHTE ATAS/185/2013 del 20 febbraio 2013</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RSG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38 des conditions générales de l'assurance indemnités journalières collective Helsana Business Salary selon la LCA de la défenderesse, édition 2006 (ci-après CGA), pour toutes les actions au sujet du présent contrat d'assurance, sont compétents au choix soit les tribunaux du domicile suisse du preneur d'assurance ou de l'ayant droit, soit ceux du lieu de travail de l'ayant droit, soit ceux du siège principal de [la défenderesse]. En l’occurrence, tant le preneur d’assurance que le lieu du travail du demandeur à l'époque déterminante sont à Genève. La compétence de la Cour de céans pour juger du cas d’espèce est ainsi établie.</w:t>
      </w:r>
    </w:p>
    <w:p>
      <w:r>
        <w:rPr>
          <w:b/>
        </w:rPr>
        <w:t>E. 2</w:t>
      </w:r>
    </w:p>
    <w:p>
      <w:r>
        <w:t>La LCA est applicable à la présente assurance, comme cela ressort de l'art. 2.5 des CGA.</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w:t>
      </w:r>
    </w:p>
    <w:p>
      <w:r>
        <w:t>A/708/2012 - 8/11 -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w:t>
      </w:r>
    </w:p>
    <w:p>
      <w:r>
        <w:rPr>
          <w:b/>
        </w:rPr>
        <w:t>E. 4</w:t>
      </w:r>
    </w:p>
    <w:p>
      <w:r>
        <w:t>Le litige porte sur le droit du demandeur à des indemnités journalières du</w:t>
      </w:r>
    </w:p>
    <w:p>
      <w:r>
        <w:rPr>
          <w:b/>
        </w:rPr>
        <w:t>E. 5</w:t>
      </w:r>
    </w:p>
    <w:p>
      <w:r>
        <w:t>Selon l’art. 3.1 des CGA, par maladie, on entend toute atteinte à la santé physique, mentale ou psychique qui n’est pas due à un accident et qui exige un examen ou un traitement médical ou provoque une incapacité de travail. L’art. 3.4 des CGA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3.5 des CGA,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personne assurée doit fournir la preuve de la perte de revenu (chiffre 13.2 CGA). Elle doit tout entreprendre pour accélérer la guérison et éviter tout ce qui pourrait la ralentir, elle doit en particulier suivre les prescriptions du médecin et du personnel soignant (chiffre 13.3 CGA). Lorsque l’incapacité de travail prend fin, une attestation sur le degré et la durée de l’incapacité de travail doit immédiatement être envoyée à l’assureur (chiffre 13.4 CGA). Selon le chiffre 13.5 CGA,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[chiffre] 14.</w:t>
      </w:r>
    </w:p>
    <w:p>
      <w:r>
        <w:rPr>
          <w:b/>
        </w:rPr>
        <w:t>E. 6</w:t>
      </w:r>
    </w:p>
    <w:p>
      <w:r>
        <w:t>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A/708/2012 - 9/11 - description des interférences médicales soit claire et enfin que les conclusions de l’expert soient bien motivées (ATF 125 V 351 consid. 3; ATF 122 V 157 consid. 1c). On rappellera que la jurisprudence admet que le médecin traitant est généralement enclin, en cas de doute, à prendre parti pour son patient en raison de la relation de confiance qui l'unit à ce dernier (ATFA non publié I 524/04 du 28 juin 2005 consid. 3.3). Contrairement à ce que semble alléguer le demandeur, ce n'est pas tant le fait que le Dr A__________ soit ou non son médecin de famille qui est déterminant, mais son mandat thérapeutique.</w:t>
      </w:r>
    </w:p>
    <w:p>
      <w:r>
        <w:rPr>
          <w:b/>
        </w:rPr>
        <w:t>E. 7</w:t>
      </w:r>
    </w:p>
    <w:p>
      <w:r>
        <w:t>En l’espèce, le Dr A__________ a prolongé jusqu’au 9 octobre 2011 l’incapacité de travail de l’assuré par certificat du 5 septembre 2011. Il a précisé le 4 octobre 2011 que cette prolongation était dictée par les épanchements survenant après des marches prolongées. Or, si l’IRM passée le 9 août 2011 révélait en effet un minime épanchement, le Dr A___________ n’en a pas constaté et n'a pas fait état de douleur lors de sa consultation du 5 septembre 2011, près d’un mois plus tard. Autrement dit, l’impossibilité de reprendre le travail repose sur un symptôme et une limitation à la marche qui n’ont pas été objectivement constatés par un médecin et ne se fondent que sur les allégations de l’assuré. De plus, il n'est pas établi qu'un épanchement non douloureux suffise à entraîner une incapacité de travail. Par ailleurs, les certificats du Dr A__________ du 1er et du 19 septembre 2012 recèlent des divergences fondamentales sur les plaintes prétendument rapportées par le demandeur lors de la consultation du 5 septembre 2011 et sur la possibilité de conduire un véhicule, et il est troublant que ce médecin n’offre pas la moindre explication sur ces variations. L’attestation du 19 septembre 2012 du Dr A__________, dans laquelle ce médecin revient sur les premiers renseignements fournis à la Cour de céans, a été établie à la requête du demandeur. Le contenu de ce deuxième certificat doit ainsi être examiné avec circonspection. En l’occurrence, la Cour de céans considère que l’on ne saurait lui reconnaître pleine valeur probante. En effet, selon le principe de la "déclaration de la première heure" développé par la jurisprudence et applicable de manière générale en assurances sociales (ATF non publié 9C_663/2009 du 1er février 2010, consid. 3.2), que l’on peut appliquer par analogie aux litiges en matière d’assurances complémentaires,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Or, si l’on se réfère aux premières déclarations du demandeur telles que rapportées par son médecin le 1er septembre 2012, le gonflement du genou ne survenait qu’après 4 km de marche prolongée et le Dr A___________ lui avait alors déconseillé des marches prolongées sur plusieurs kilomètres. Dans ces conditions, il faut admettre que l’activité de représentant commercial du demandeur était exigible dès le 5 septembre 2011 dès lors que celui-ci ne présentait pas d'autres symptômes que cet épanchement et n'éprouvait en particulier pas de douleurs. En</w:t>
      </w:r>
    </w:p>
    <w:p>
      <w:r>
        <w:t>A/708/2012 - 10/11 - effet, s'il est plausible que le demandeur ne soit pas toujours en mesure de se garer à proximité immédiate des locaux de ses clients lors de sa tournée, il ne paraît guère vraisemblable que la distance qu'il doit parcourir à pied entre sa place de parc et les commerces qu’il doit démarcher excède quelques centaines de mètres, soit une distance largement inférieure aux 4 km qui entraînent la formation d'un épanchement. On notera sur ce point que le demandeur n'a pas contesté la distance moyenne entre sa place de parc et ses clients de 100 à 200 m qu'a articulée le Dr D__________, mais s'est borné à souligner que cette distance devait être multipliée par le nombre de clients. Par surabondance, on relèvera qu'une telle distance serait compatible même avec les limitations fonctionnelles signalées le 19 septembre 2012 par le Dr A___________, puisqu'il n'a proscrit que les marches de plusieurs kilomètres en une fois. Quant à la conduite d’un véhicule, le médecin du demandeur a considéré dans ses premières déclarations qu’elle était possible sans restriction. On ne saurait donc nier l’aptitude au travail du demandeur dès le 5 septembre 2011 en raison d’une impossibilité à parcourir de longues distances en voiture. Enfin, la station debout et l’agenouillement occasionnel ne font pas état des limitations retenues par le Dr A___________, de sorte qu'elles ne suffisent pas à établir une incapacité de travail. Force est ainsi d’admettre que le demandeur était apte à reprendre son travail de représentant commercial dès le 5 septembre 2011.</w:t>
      </w:r>
    </w:p>
    <w:p>
      <w:r>
        <w:rPr>
          <w:b/>
        </w:rPr>
        <w:t>E. 8</w:t>
      </w:r>
    </w:p>
    <w:p>
      <w:r>
        <w:t>Eu égard à ce qui précède, la demande est rejetée. Pour le surplus, la procédure est gratuite (art. 114 let. e CPC).</w:t>
      </w:r>
    </w:p>
    <w:p>
      <w:r>
        <w:t>A/708/2012 - 11/11 -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