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ATAS/184/2022 vom 1. März 2022</w:t>
      </w:r>
    </w:p>
    <w:p>
      <w:r>
        <w:t>GE Cour de justice, 2022-03-01, FR</w:t>
      </w:r>
    </w:p>
    <w:p>
      <w:r>
        <w:rPr>
          <w:b/>
        </w:rPr>
        <w:t xml:space="preserve">Quelle: </w:t>
      </w:r>
      <w:r>
        <w:t>https://mcp.opencaselaw.ch/entscheid/ge_gerichte_ATAS_184_2022</w:t>
      </w:r>
    </w:p>
    <w:p>
      <w:r>
        <w:t>FR: GE_GERICHTE ATAS/184/2022 du 1 mars 2022</w:t>
      </w:r>
    </w:p>
    <w:p>
      <w:r>
        <w:t>IT: GE_GERICHTE ATAS/184/2022 del 1 marzo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A/1427/2021 - 6/18 -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w:t>
      </w:r>
    </w:p>
    <w:p>
      <w:r>
        <w:rPr>
          <w:b/>
        </w:rPr>
        <w:t>E. 6</w:t>
      </w:r>
    </w:p>
    <w:p>
      <w:r>
        <w:t>Le litige porte sur le droit de la recourante à une rente d'invalidité, singulièrement sur l'étendue de sa capacité de travail.</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w:t>
      </w:r>
    </w:p>
    <w:p>
      <w:r>
        <w:t>A/1427/2021 - 7/18 -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8.2</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I.786/04 du 19 janvier 2006 consid. 3.1).</w:t>
      </w:r>
    </w:p>
    <w:p>
      <w:r>
        <w:rPr>
          <w:b/>
        </w:rPr>
        <w:t>E. 9.1</w:t>
      </w:r>
    </w:p>
    <w:p>
      <w:r>
        <w:t>La reconnaissance de l’existence d’une atteinte à la santé psychique suppose la présence d’un diagnostic émanent d’un expert (psychiatre) et s’appuyant selon les règles de l’art sur les critères d’un système de classification reconnu, tel le</w:t>
      </w:r>
    </w:p>
    <w:p>
      <w:r>
        <w:t>A/1427/2021 - 8/18 - CIM ou le DSM-IV (ATF 143 V 409 consid. 4.5.2 ; ATF 141 V 281 consid. 2.1 et 2.1.1 ; ATF 130 V 396 consid. 5.3 et 6).</w:t>
      </w:r>
    </w:p>
    <w:p>
      <w:r>
        <w:rPr>
          <w:b/>
        </w:rPr>
        <w:t>E. 9.2</w:t>
      </w:r>
    </w:p>
    <w:p>
      <w:r>
        <w:t>Le Tribunal fédéral a modifié sa pratique lors de l'examen du droit à une rente d'invalidité en cas de troubles psychiques (ATF 143 V 409 consid. 4.5 et ATF 143 V 418 consid. 6 et 7 du 30 novembre 2017).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En effet, celles-ci ne peuvent en principe être déterminées ou prouvées sur la base de critères objectifs que de manière limitée (ATAS/945/2018 du 17 octobre 2018 consid. 6b).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w:t>
      </w:r>
    </w:p>
    <w:p>
      <w:r>
        <w:rPr>
          <w:b/>
        </w:rPr>
        <w:t>E. 9.3</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w:t>
      </w:r>
    </w:p>
    <w:p>
      <w:r>
        <w:t>A/1427/2021 - 9/18 - encore, raisonnablement, exiger de l’assuré (ATF 125 V 256 consid. 4 et les références).</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10.2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10.3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A/1427/2021 - 10/18 - (ATF 142 V 58 consid. 5 ; ATF 135 V 465 consid. 4.4 et 4.6 ; arrêt du Tribunal fédéral 9C_371/2018 du 16 août 2018 consid. 4.3.1).</w:t>
      </w:r>
    </w:p>
    <w:p>
      <w:r>
        <w:rPr>
          <w:b/>
        </w:rPr>
        <w:t>E. 10.4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10.5</w:t>
      </w:r>
    </w:p>
    <w:p>
      <w:r>
        <w:t>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w:t>
      </w:r>
    </w:p>
    <w:p>
      <w:r>
        <w:t>A/1427/2021 - 11/18 -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13</w:t>
      </w:r>
    </w:p>
    <w:p>
      <w:r>
        <w:t>En l'espèce, l'intimé nie le droit de la recourante à une rente de l'assurance-invalidité, en s'appuyant sur l'avis du SMR du 2 décembre 2020, lui-même basé sur le rapport d'expertise pluridisciplinaire (« consensuelle ») du 3 novembre 2020, ainsi que sur l'avis du SMR du 1er mars 2021.</w:t>
      </w:r>
    </w:p>
    <w:p>
      <w:r>
        <w:rPr>
          <w:b/>
        </w:rPr>
        <w:t>E. 13.1</w:t>
      </w:r>
    </w:p>
    <w:p>
      <w:r>
        <w:t>Sur la forme, le rapport d'expertise est fondé sur l'examen de la recourante par des spécialistes des disciplines médicales pertinentes eu égard aux atteintes à la santé invoquées ‒ effectué les 8 juillet (médecine interne), 21 août (ophtalmologie), 31 août (neurologie), 17 septembre (neuropsychologie) et 22 septembre 2020 (psychiatrie) ‒, sur une analyse du dossier et comprend une anamnèse, ainsi que les plaintes de la recourante.</w:t>
      </w:r>
    </w:p>
    <w:p>
      <w:r>
        <w:rPr>
          <w:b/>
        </w:rPr>
        <w:t>E. 13.2</w:t>
      </w:r>
    </w:p>
    <w:p>
      <w:r>
        <w:t>Sur le fond, les experts, procédant à une « évaluation interdisciplinaire », posent des diagnostics tant somatiques que psychiques, sans incidence sur la capacité de travail de la recourante à compter du 1er janvier 2017.</w:t>
      </w:r>
    </w:p>
    <w:p>
      <w:r>
        <w:rPr>
          <w:b/>
        </w:rPr>
        <w:t>E. 13.2.1</w:t>
      </w:r>
    </w:p>
    <w:p>
      <w:r>
        <w:t>Sur le plan somatique, l'expert ophtalmologue retient une hémianopsie homonyme gauche partielle, asymétrique, plus marquée à l'œil gauche qu'à l'œil droit (atteinte partielle des voies visuelles rétro-chiasmatiques droites) ; une perte du champ visuel périphérique de l'œil gauche (perte du croissant temporal monoculaire gauche) ; et une minime séquelle d'une parésie du nerf III gauche sous la forme d'une légère diminution de l'élévation de l'œil gauche en abduction uniquement. Il explique que le déficit homonyme gauche est très faible, sans gêne pour la recourante dans ses activités habituelles. La perte du croissant temporal a pour conséquence que celle-ci est parfois surprise par l'irruption de quelqu'un ou d'un objet en mouvement dans son hémi-champ visuel gauche qu'elle perçoit un peu plus tard que s'il arrivait dans son hémi-champ visuel droit (rapport du 4 septembre 2020, p. 2). Il ajoute que l'acuité visuelle de l'œil droit est légèrement diminuée par rapport à celle de l'œil gauche (normale) en raison d'une amblyopie</w:t>
      </w:r>
    </w:p>
    <w:p>
      <w:r>
        <w:t>A/1427/2021 - 12/18 - ancienne connue non évolutive. La recourante ne souffre plus d'une mydriase gauche, seulement d'une légère anisocorie physiologique. Quant à la paralysie du nerf III gauche, elle a évolué favorablement. Seule une diplopie verticale existe lors de l'élévation de l'œil gauche en abduction (p. 3). L'expert en conclut que, sur le plan strictement ophtalmologique, la recourante est apte à travailler à plein temps. Il précise que la photophobie, dont se plaint celle-ci, ne résulte pas d'une affection ophtalmologique, mais d'un phénomène central (intervention intracrânienne et/ou complications neurologiques consécutives à l'opération, p. 3). L'expert neurologue, quant à lui, retient un status après craniotomie pour clippage d'un anévrisme de l'artère communicante postérieure gauche le 26 octobre 2015 avec troubles sensitifs de l'hémiface gauche et de très discrets troubles sensitivomoteurs au membre inférieur gauche ; des migraines sans aura ; et des douleurs plantaires dans le cadre d'un névrome de Morton des deux côtés (rapport du 31 août 2020, p. 4). Il considère qu'il n'existe pas de limitation fonctionnelle significative dans l'activité habituelle sur le plan neurologique (p. 5). Enfin, l'experte neuropsychologue retient un déficit à un test de dénomination d'actions et un ralentissement à la lecture sous contrainte temporelle ; des résultats effondrés à une épreuve de mémoire antérograde épisodique verbale ; un ralentissement à des tâches de programmation motrice et d'inhibition et des difficultés à une tâche de planification ; un ralentissement modéré de la vitesse de traitement et sévère des temps de réaction, ainsi que des troubles sévères à une épreuve d'attention divisée (rapport du 29 septembre 2020, p. 3). Elle relève, par rapport à l'examen neuropsychologique de novembre 2015 ‒ jugé à l'époque dans les normes ‒, une aggravation, sans lien avec le clippage de l'anévrisme réalisé en octobre 2015. Sous réserve d'éléments médicaux pouvant expliquer la présence actuelle des troubles mnésiques sévères, les résultats évoqués suggéraient, selon elle, des fluctuations dans la mobilisation des ressources, si bien qu'ils ne permettaient pas d'apprécier objectivement la nature et la sévérité d'une possible atteinte cognitive (p. 4). Sur le plan psychique, l'expert retient des troubles de l'adaptation avec une réaction dépressive prolongée (F43.21), en présence d'une thymie abaissée et fluctuante liée à des séquelles post-craniotomie et à des difficultés conjugales, sans répercussion sur la capacité de travail (rapport du 23 septembre 2020, p. 3-4).</w:t>
      </w:r>
    </w:p>
    <w:p>
      <w:r>
        <w:rPr>
          <w:b/>
        </w:rPr>
        <w:t>E. 13.2.2</w:t>
      </w:r>
    </w:p>
    <w:p>
      <w:r>
        <w:t>La chambre de céans constate que, sous l'angle psychique, quand bien même l'expert et la psychiatre traitante posent des diagnostics différents, cette dernière évoque une dysthymie (F34.1 ; rapport du 22 décembre 2020) ‒ ce qui n'est pas inhabituel, compte tenu de la marge d'appréciation inhérente à la science médicale (ATF 145 V 361 consid. 4.1.2 ; arrêts du Tribunal fédéral 9C_212/2020 du 4 septembre 2020 consid. 4.2 et 9C_762/2019 du 16 juin 2020 consid. 5.2) ‒, cela, en soi, ne porte pas à conséquence, puisque, comme on le verra ci-après à</w:t>
      </w:r>
    </w:p>
    <w:p>
      <w:r>
        <w:t>A/1427/2021 - 13/18 - l'aide des indicateurs jurisprudentiels (ATF 141 V 281), l'atteinte à la santé psychique (quel que soit le diagnostic considéré) n'entraîne pas de répercussions fonctionnelles. En effet, s'agissant du « succès du traitement et de la réadaptation », la recourante consulte sa psychiatre depuis février 2020, sans prendre de médication psychotrope (rapport du 3 novembre 2020, p. 7). Aucune pièce au dossier ne fait état d'une hospitalisation en milieu psychiatrique. La recourante n'est donc pas encore confrontée à un échec de toute thérapie médicalement indiquée. S'agissant de la « comorbidité », si celle-ci présente également des troubles somatiques concomitants, encore faut-il examiner si l'interaction de ces troubles ayant valeur de maladie prive l'assuré de certaines ressources (arrêt du Tribunal fédéral 9C_756/2018 du 17 avril 2019 consid. 5.2.3). Tel n'est toutefois pas le cas en l'occurrence, la recourante dispose de bonnes capacités et ressources personnelles, compte tenu de ses activités quotidiennes et ménagères (en particulier, elle sort se promener, prépare à son rythme ses repas, fait les courses et la lessive, écoute de la musique, fréquente les salles de cinéma et conduit sur de courts trajets ; rapport du 3 novembre 2020 de la Dresse D______, p. 8). S'agissant du complexe de « la personnalité », ni la psychiatre traitante ni l'expert ne retiennent un trouble spécifique de la personnalité au sens d'une classification diagnostique reconnue. Celui-ci relève au contraire que la personnalité structurée de la recourante lui permet de faire face à ses problèmes de santé et à ses difficultés conjugales (rapport du 23 septembre 2020, p. 4). Pour ce qui est du « contexte social », lors de l'expertise, la recourante avait déclaré entretenir des relations avec des amis (rapport du 3 novembre 2020 de la Dresse D______, p. 8). Quand bien même la psychiatre traitante mentionne, dans un rapport postérieur, que celle-ci vit une situation de repli, la recourante garde néanmoins des contacts réguliers avec ses parents et son frère (rapport de la Dresse D______ précité, p. 8 ; rapport du 22 décembre 2020 de la Dresse I______ ; courrier du 19 février 2021). Le contexte familial est donc susceptible de lui fournir des ressources pour surmonter son atteinte à la santé. En ce qui concerne la catégorie « cohérence », les atteintes à la santé ne limitent pas la recourante dans l'exécution de ses travaux habituels, puisqu'elle est, comme on l'a dit plus haut, autonome dans les fonctions de la vie quotidienne. Elle gère par ailleurs ses tâches administratives à son rythme (rapport du 3 novembre 2020 de la Dresse D______, p. 8) et son hygiène personnelle est respectée (p. 9). Ces éléments tendent à démontrer que les symptômes psychiques de la recourante ne peuvent l'empêcher de travailler dans une activité lucrative. Du reste, aucun médecin n'a mis la recourante en arrêt de travail, ni n'a attesté d'une incapacité de travail en raison de l'atteinte psychique, étant relevé que, le Dr C______ (médecin traitant) écartait tout trouble dépressif pathologique dans son rapport du 6 juin 2019.</w:t>
      </w:r>
    </w:p>
    <w:p>
      <w:r>
        <w:t>A/1427/2021 - 14/18 - En définitive, on doit admettre avec l'expert psychiatre que la recourante est apte à exercer une activité professionnelle à plein temps, en dépit de son affection psychique qui n'a pas valeur de maladie, faute d'atteindre un degré de gravité suffisant.</w:t>
      </w:r>
    </w:p>
    <w:p>
      <w:r>
        <w:rPr>
          <w:b/>
        </w:rPr>
        <w:t>E. 13.2.3</w:t>
      </w:r>
    </w:p>
    <w:p>
      <w:r>
        <w:t>Sous l'angle somatique, aucun rapport au dossier ne permet de remettre en cause l'appréciation de l'expert ophtalmologue sur le plan strictement ophtalmologique. En revanche, alors que, selon cet expert, la photophobie, qui n'est pas due à une lésion oculaire, résulte de la craniotomie et/ou de complications neurologiques (entre autres la parésie du nerf III gauche), l'expert neurologue ne discute point de ce symptôme et de ses éventuelles limitations fonctionnelles. Dans le rapport intitulé « expertise consensuelle » du 3 novembre 2020, signé uniquement par les médecins interne et psychiatre, sans qu'il ne soit en réalité complété par une appréciation consensuelle de l'ensemble des experts (p. 7-8), il est indiqué que la photophobie est « en partie » liée aux migraines, qu'elle est probablement consécutive à l'opération intracrânienne (p. 3-5) et qu'elle limite le temps de travail d'affilée à l'écran d'ordinateur sur des périodes supérieures à 30-45 minutes (p. 5). Or, malgré cette restriction et la nécessité pour la recourante d'aménager des pauses, ces experts concluent à une pleine capacité de travail dans l'activité habituelle (p. 6), sans expliquer les motifs pour lesquels ils excluent (implicitement) une baisse de rendement ‒ étant relevé qu'au 19 février 2021, une solution n'était pas encore trouvée aux problèmes de photophobie (rapport de Mme K______). De plus, bien qu'il observe que la migraine soit insuffisamment traitée, l'expert neurologue considère qu'elle n'est pas invalidante à long terme, le pronostic étant favorable, moyennant une médication appropriée et un traitement de fond (rapport du 31 août 2020, p. 5). Dans le rapport d'expertise « consensuelle » du 3 novembre 2020, les experts se contentent ensuite de déclarer que, sur le plan neurologique, les limitations fonctionnelles sont peu importantes ; les migraines « pourraient » être améliorées dans leur prise en charge avec la mise en place d'une antalgie efficace sur les crises, de même qu'un traitement de fond (p. 5). Or, les experts, qui emploient le conditionnel, ne discutent pas de l'éventuelle incidence actuelle des migraines ‒ qui entravent la recourante pendant un à deux jours (avis du SMR du 28 juin 2021) entre deux à quatre fois par mois (rapport du 31 août 2020, p. 2 ; courrier du 19 février 2021, p. 4) ‒ sur le rendement de celle-ci, dans l'attente qu'un traitement médicamenteux porte ses fruits. À cet égard, dans son rapport du 12 novembre 2020, le Dr L______ indique avoir prescrit des médicaments à la recourante et qu'il convient d'évaluer son efficacité dans quelques mois. Cette dernière allègue que ce traitement n'a pas été bénéfique (cf. réplique du 4 juin 2021), raison pour laquelle elle consulterait ce médecin le</w:t>
      </w:r>
    </w:p>
    <w:p>
      <w:r>
        <w:rPr>
          <w:b/>
        </w:rPr>
        <w:t>E. 13.2.4</w:t>
      </w:r>
    </w:p>
    <w:p>
      <w:r>
        <w:t>Au vu de ces éléments, la valeur probante des expertises neurologique et neuropsychologique ne peut qu'être mise en doute, de sorte qu'il se justifie de renvoyer la cause à l'intimé afin qu'il mette en œuvre une nouvelle expertise</w:t>
      </w:r>
    </w:p>
    <w:p>
      <w:r>
        <w:t>A/1427/2021 - 16/18 - comportant ces deux volets. Il appartiendra aux experts, qui devront notamment commenter et discuter les avis du Dr G______ et de Mme H______, de répondre en particulier aux questions en suspens : à savoir, si la photophobie est due à une atteinte neurologique et si ce symptôme, et/ou les migraines, ainsi que les troubles de l'équilibre baissent le rendement de la recourante (étant précisé que dans l'éventualité où la recourante ne souffrirait plus de migraines lors de la nouvelle expertise, il incombera néanmoins aux experts de se déterminer sur l'influence éventuelle de celles-ci sur le rendement de la recourante pour la période antérieure).</w:t>
      </w:r>
    </w:p>
    <w:p>
      <w:r>
        <w:rPr>
          <w:b/>
        </w:rPr>
        <w:t>E. 13.3</w:t>
      </w:r>
    </w:p>
    <w:p>
      <w:r>
        <w:t>En ce qui concerne les douleurs plantaires dans le cadre d'un névrome de Morton des deux côtés, ainsi que la polyarthrite rhumatoïde, il convient de relever que,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13.3.1</w:t>
      </w:r>
    </w:p>
    <w:p>
      <w:r>
        <w:t>La survenance d'une atteinte à la santé totalement différente de celle qui prévalait au moment du refus de la première demande de prestations et propre, de par sa nature et sa gravité, à causer une incapacité de travail de 40% au moins en moyenne sur une année a, compte tenu de l'absence de connexité matérielle avec la situation de fait prévalant au moment du refus de la première demande de prestations, pour effet de créer un nouveau cas d'assurance.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9C_697/2015 du 9 mai 2016 consid. 3.2 et les références).</w:t>
      </w:r>
    </w:p>
    <w:p>
      <w:r>
        <w:rPr>
          <w:b/>
        </w:rPr>
        <w:t>E. 13.3.2</w:t>
      </w:r>
    </w:p>
    <w:p>
      <w:r>
        <w:t>En l'espèce, la recourante a d'abord été incapable de travailler en raison du clipping d'un anévrisme non rompu de l'artère communicante postérieure gauche le 26 octobre 2015, ainsi que de troubles apparus dans les suites de cette opération (notamment l'hémiparésie gauche ayant nécessité une neuro-rééducation), ce jusqu'en décembre 2016, date à partir de laquelle elle a pu reprendre son travail habituel presque à 100% (rapport du Dr B______ du 9 décembre 2016 ; avis du SMR du 2 décembre 2020), avant qu'elle ne soit, selon le Dr C______, à nouveau en totale incapacité de travail ou à raison de 75% dans toute activité pour des troubles cognitifs (rapports des 4 septembre 2018 et 6 juin 2019). Les douleurs</w:t>
      </w:r>
    </w:p>
    <w:p>
      <w:r>
        <w:t>A/1427/2021 - 17/18 - plantaires ont ensuite occasionné une incapacité de travail totale dès le 21 juillet 2020 (attestation du Dr C______ du 31 août 2020 ; déclaration de maladie du 28 juillet 2020). Force est de constater que les atteintes somatiques d'octobre 2015 et de septembre 2018 sont distinctes de celles apparues en juillet 2020 et les secondes ne peuvent être rattachées par un lien temporel à l'opération réalisée en octobre 2015. Partant, un nouveau cas d'assurance est survenu en juillet 2020, entraînant le départ d'un nouveau délai de carence d'un an, échéant en juillet 2021, postérieurement à la décision litigieuse du 22 mars 2021. La chambre de céans ne peut dès lors, à ce stade, se prononcer sur le droit éventuel de la recourante aux prestations de l'assurance-invalidité consécutif à la maladie de Morton. Il en va de même s'agissant de la polyarthrite rhumatoïde. En effet, quand bien même, aux dires de la recourante, cette atteinte existerait de longue date, avant la décision dont est recours, il n'empêche que, lors de l'expertise, celle-ci ne se plaignait pas de douleurs aux articulations, lesquelles sont apparues depuis le 22 mai 2021 au plus tôt (rapport du 22 juin 2021 du Dr C______). Ainsi, antérieurement à cette date, elles n'entraînaient aucune restriction fonctionnelle. En conséquence, ce diagnostic constitue un fait nouveau postérieur à la décision du 22 mars 2021. Aussi la chambre de céans ne saurait-elle en tenir compte. Cela étant dit, au vu du renvoi de la présente cause à l’intimé pour qu'il instruise la situation de la recourante, il lui incombera également, dans ce cadre, d'apprécier, à l'aune des pièces médicales (autres que celles figurant déjà au dossier) que lui fournira celle-ci, l'opportunité de compléter la nouvelle expertise par un volet rhumatologique et/ou orthopédique, pour rendre une décision sur la base de faits dûment actualisés. 14. Vu le renvoi de la cause à l'intimé, il n'est pas nécessaire d'entendre les témoins cités par la recourante.</w:t>
      </w:r>
    </w:p>
    <w:p>
      <w:r>
        <w:rPr>
          <w:b/>
        </w:rPr>
        <w:t>E. 15</w:t>
      </w:r>
    </w:p>
    <w:p>
      <w:r>
        <w:t>Par conséquent, le recours sera partiellement admis, la décision litigieuse annulée et le dossier renvoyé à l’intimé afin qu’il procède conformément aux considérants, et rende une nouvelle décision. La recourante, non représentée, n'a pas droit à des dépens (art. 61 let. g LPGA). Au vu du sort du recours, il y a lieu de condamner l'intimé au paiement d'un émolument, arrêté en l'espèce à CHF 200.- (art. 69 al. 1bis LAI). * * * * * *</w:t>
      </w:r>
    </w:p>
    <w:p>
      <w:r>
        <w:t>A/1427/2021 - 18/18 -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