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ATAS/184/2019 vom 6. März 2019</w:t>
      </w:r>
    </w:p>
    <w:p>
      <w:r>
        <w:t>GE Cour de justice, 2019-03-06, FR</w:t>
      </w:r>
    </w:p>
    <w:p>
      <w:r>
        <w:rPr>
          <w:b/>
        </w:rPr>
        <w:t xml:space="preserve">Quelle: </w:t>
      </w:r>
      <w:r>
        <w:t>https://mcp.opencaselaw.ch/entscheid/ge_gerichte_ATAS_184_2019</w:t>
      </w:r>
    </w:p>
    <w:p>
      <w:r>
        <w:t>FR: GE_GERICHTE ATAS/184/2019 du 6 mars 2019</w:t>
      </w:r>
    </w:p>
    <w:p>
      <w:r>
        <w:t>IT: GE_GERICHTE ATAS/184/2019 del 6 marzo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 délai et la forme requise, le recours est recevable (art. 60 LPGA et 89B de la loi sur la procédure administrative du 12 septembre 1985; LPA-E 5 10).</w:t>
      </w:r>
    </w:p>
    <w:p>
      <w:r>
        <w:rPr>
          <w:b/>
        </w:rPr>
        <w:t>E. 3</w:t>
      </w:r>
    </w:p>
    <w:p>
      <w:r>
        <w:t>Le litige porte sur le bienfondé d’une nouvelle expertise psychiatrique de la recourante et la validité de la désignation du Dr G______ pour y procéder.</w:t>
      </w:r>
    </w:p>
    <w:p>
      <w:r>
        <w:t>A/1423/2018 - 9/13 -</w:t>
      </w:r>
    </w:p>
    <w:p>
      <w:r>
        <w:rPr>
          <w:b/>
        </w:rPr>
        <w:t>E. 4</w:t>
      </w:r>
    </w:p>
    <w:p>
      <w:r>
        <w:t>Selon l’art. 17 al. 1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la réglementation sur la révision ne saurait en effet constituer un fondement juridique à un réexamen sans condition du droit à la rente (arrêts du Tribunal fédéral des assurances I 406/05 du 13 juillet 2006 consid. 4.1 ; I 559/02 du 31 janvier 2003 consid. 3.2 et les arrêts cités).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w:t>
      </w:r>
    </w:p>
    <w:p>
      <w:r>
        <w:t>A/1423/2018 - 10/13 -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108 consid. 2b).</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En vertu de l’art. 44 LPGA, si l'assureur doit recourir aux services d'un expert indépendant pour élucider les faits, il donne connaissance du nom de celui-ci aux parties. Celles-ci peuvent récuser l'expert pour des raisons pertinentes et présenter des contre-propositions. Lorsque l'assureur-accidents ordonne une expertise avant de rendre une décision au sens de l'art. 49 LPGA, il doit respecter le droit de l'assuré d'être entendu à ce stade déjà, sans attendre la phase – éventuelle – de la procédure d'opposition prévue par l'art. 52 LPGA (ATF 120 V 357 consid. 2b; RAMA 2000 n° U 369 p. 104 consid. 2b, 1996 n° U 265 p. 294 consid. 3c). Selon la jurisprudence, l’assuré bénéficie des droits de participation antérieurs en ce sens qu'elle peut s'exprimer sur les questions posées à l'expert (ATF 138 V 318 consid. 6.1). En outre, il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S'agissant plus particulièrement de la mise en œuvre d'une expertise consensuelle, le Tribunal fédéral a précisé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l'assureur ordonnera une expertise, en rendant une décision qui pourra être attaquée par l’assuré (ATF 138 V 271 consid. 1.1). Le Tribunal fédéral a encore récemment rappelé que depuis l'ATF 137 V 210, il existe en principe une obligation de la part de l’assureur de</w:t>
      </w:r>
    </w:p>
    <w:p>
      <w:r>
        <w:t>A/1423/2018 - 11/13 - s'efforcer à mettre en œuvre une expertise consensuelle avant de rendre une décision (arrêt du Tribunal fédéral 9C_908/2012 du 22 février 2013 consid. 5.1).</w:t>
      </w:r>
    </w:p>
    <w:p>
      <w:r>
        <w:rPr>
          <w:b/>
        </w:rPr>
        <w:t>E. 6</w:t>
      </w:r>
    </w:p>
    <w:p>
      <w:r>
        <w:t>En l'espèce, la recourante a demandé, le 25 mars 2016, à l'OAI un trois quarts de rente d'invalidité. Elle était au bénéfice d'une demi-rente d'invalidité dès le 1er février 2013 suite à l'arrêt de la chambre de céans du 28 janvier 2016 réformant la décision rendue le 16 octobre 2014 par l'OAI lui octroyant un quart de rente d'invalidité. Son psychiatre traitant a attesté d'une aggravation de son état de santé dès avril-mai 2015. L'OAI a, dans un premier temps, examiné si l'aggravation de son état était plausible, ce qui a été retenu par le SMR, le 21 novembre 2016. Il a, sur cette base, informé l'assurée qu'il acceptait d'entrer en matière sur sa nouvelle demande, conformément à l'art. 87 al. 2 RAI, et qu'il procédait donc à son instruction. Par la suite, le gestionnaire du dossier a émis des doutes sur la plausibilité de l'aggravation de l’état de santé de la recourante en retenant, à tort, que l'expertise mentionnée dans l'arrêt de la chambre de céans du 28 janvier 2016 avait été effectuée en novembre 2015, soit après l'aggravation invoquée. En effet, le rapport d'expertise du Dr B______ date du 21 juin 2013. Il a seulement été complété, à la demande de la chambre de céans, le 12 novembre 2015, sur la question de savoir si l'expert avait tenu compte de l'aide exigible de la famille de l'intéressée dans son appréciation de la capacité d'effectuer les travaux ménagers. Ce complément d'expertise ne contient pas d'appréciation de la situation de l'assurée postérieurement au 21 juin 2013. Cette erreur du gestionnaire est toutefois restée sans conséquence, puisque l'OAI n’a pas refusé d'entrer en matière sur la nouvelle demande, mais au contraire a décidé de l'instruire, en faisant procéder à une expertise psychiatrique pour établir si l'état de santé de la recourante s'était aggravé. Il était nécessaire de procéder à une nouvelle expertise complète pour évaluer la situation de l'assurée en 2015, l'expertise effectuée en 2013 n'étant plus d'actualité, vu le temps passé et l'aggravation annoncée. La situation déjà jugée n'était plus la même, de sorte que l'intimé ne demandait pas une seconde opinion au Dr G______. Il en résulte que la décision de l'intimé de faire procéder à une nouvelle expertise complète était bien fondée. Si les parties doivent être consultées sur la mission d'expertise et l'expert choisi, il ne leur appartient pas de choisir l'expert. L'intimé a respecté le droit d'être entendu de la recourante en lui soumettant un délai pour faire valoir ses éventuels motifs de récusation et se prononcer sur la mission d'expertise, mais il faut admettre qu'il s'est précipité et que le délai de douze jours octroyé était trop court, ce d'autant plus qu'il commençait le 22 décembre 2017, soit juste avant les fêtes de fin d'année. Cela étant, l'intimé a pris en compte les griefs de la recourante en annulant la convocation de l'expert et en confiant son dossier à un autre gestionnaire, de sorte qu'il a ainsi réparé son erreur. Le motif invoqué contre le Dr G______ ne constitue pas une cause de récusation fondée, dès lors que celui-ci n'a pas expertisé le mari de la recourante. Dans la</w:t>
      </w:r>
    </w:p>
    <w:p>
      <w:r>
        <w:t>A/1423/2018 - 12/13 - mesure toutefois où l'expertise n'a pas encore été mise en oeuvre, il se justifie que l'intimé propose un-e nouvel-le expert-e à la recourante, afin de parvenir, autant que possible, à un consensus évitant la prolongation de la procédure, qui n'a déjà que trop duré.</w:t>
      </w:r>
    </w:p>
    <w:p>
      <w:r>
        <w:rPr>
          <w:b/>
        </w:rPr>
        <w:t>E. 7</w:t>
      </w:r>
    </w:p>
    <w:p>
      <w:r>
        <w:t>Au vu des considérations qui précèdent, le recours est partiellement admis. La décision querellée sera annulée et la cause renvoyée à l'intimé pour nouvelle décision.</w:t>
      </w:r>
    </w:p>
    <w:p>
      <w:r>
        <w:rPr>
          <w:b/>
        </w:rPr>
        <w:t>E. 8</w:t>
      </w:r>
    </w:p>
    <w:p>
      <w:r>
        <w:t>La recourante obtenant ainsi partiellement gain de cause, elle a droit à des dépens qui seront fixés à CHF 1'000.- (art. 61 let. g LPGA).</w:t>
      </w:r>
    </w:p>
    <w:p>
      <w:r>
        <w:rPr>
          <w:b/>
        </w:rPr>
        <w:t>E. 9</w:t>
      </w:r>
    </w:p>
    <w:p>
      <w:r>
        <w:t>Un émolument de CHF 200.- sera mis à la charge de l'intimé (art. 69 al. 1bis LAI).</w:t>
      </w:r>
    </w:p>
    <w:p>
      <w:r>
        <w:t>A/1423/2018 - 13/13 -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