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ATAS/184/2016 vom 3. März 2016</w:t>
      </w:r>
    </w:p>
    <w:p>
      <w:r>
        <w:t>GE Cour de justice, 2016-03-03, FR</w:t>
      </w:r>
    </w:p>
    <w:p>
      <w:r>
        <w:rPr>
          <w:b/>
        </w:rPr>
        <w:t xml:space="preserve">Quelle: </w:t>
      </w:r>
      <w:r>
        <w:t>https://mcp.opencaselaw.ch/entscheid/ge_gerichte_ATAS_184_2016</w:t>
      </w:r>
    </w:p>
    <w:p>
      <w:r>
        <w:t>FR: GE_GERICHTE ATAS/184/2016 du 3 mars 2016</w:t>
      </w:r>
    </w:p>
    <w:p>
      <w:r>
        <w:t>IT: GE_GERICHTE ATAS/184/2016 del 3 marzo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7 mai 2009, date du mariage, d’autre part le 28 octobre 2015, date à laquelle le jugement de divorce est devenu exécutoire.</w:t>
      </w:r>
    </w:p>
    <w:p>
      <w:r>
        <w:rPr>
          <w:b/>
        </w:rPr>
        <w:t>E. 5</w:t>
      </w:r>
    </w:p>
    <w:p>
      <w:r>
        <w:t>Selon l'art. 30c al. 6 LPP, lorsque les époux divorcent avant la survenance d'un cas de prévoyance, le versement anticipé est considéré comme une prestation de libre passage et il est partagé conformément aux art. 280ss CC, et à l'art. 22 LFLP. Le</w:t>
      </w:r>
    </w:p>
    <w:p>
      <w:r>
        <w:t>A/4048/2015 4/5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6</w:t>
      </w:r>
    </w:p>
    <w:p>
      <w:r>
        <w:t>Selon les documents produits, la prestation acquise pendant le mariage par le demandeur s'élève à CHF 20'502.50 (20'572 -69.50), les intérêts ayant déjà été calculés par les institutions de prévoyance défenderesses. Ainsi le demandeur doit à son ex-épouse le montant de CHF 10'251.25 (20'502.50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A/4048/2015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