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ATAS/183/2020 vom 3. März 2020</w:t>
      </w:r>
    </w:p>
    <w:p>
      <w:r>
        <w:t>GE Cour de justice, 2020-03-03, FR</w:t>
      </w:r>
    </w:p>
    <w:p>
      <w:r>
        <w:rPr>
          <w:b/>
        </w:rPr>
        <w:t xml:space="preserve">Quelle: </w:t>
      </w:r>
      <w:r>
        <w:t>https://mcp.opencaselaw.ch/entscheid/ge_gerichte_ATAS_183_2020</w:t>
      </w:r>
    </w:p>
    <w:p>
      <w:r>
        <w:t>FR: GE_GERICHTE ATAS/183/2020 du 3 mars 2020</w:t>
      </w:r>
    </w:p>
    <w:p>
      <w:r>
        <w:t>IT: GE_GERICHTE ATAS/183/2020 del 3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w:t>
      </w:r>
    </w:p>
    <w:p>
      <w:r>
        <w:rPr>
          <w:b/>
        </w:rPr>
        <w:t>E. 3</w:t>
      </w:r>
    </w:p>
    <w:p>
      <w:r>
        <w:t>Le litige ne porte plus que sur la prise en considération d’un gain potentiel pour l’épouse dans le calcul des prestations complémentaires dues à l’assuré pour les mois de février, mars et avril 2019. Par décision du 6 juin 2019, le SPC a en effet admis qu’un tel gain devait être supprimé depuis le 1er mai 2019. Il convient d’en prendre acte.</w:t>
      </w:r>
    </w:p>
    <w:p>
      <w:r>
        <w:rPr>
          <w:b/>
        </w:rPr>
        <w:t>E. 4</w:t>
      </w:r>
    </w:p>
    <w:p>
      <w:r>
        <w:t>a. Aux termes de l’art. 2 al. 1 LPC, la Confédération et les cantons accordent aux personnes qui remplissent les conditions fixées aux art. 4 à 6 des prestations complémentaires destinées à la couverture des besoins vitaux.</w:t>
      </w:r>
    </w:p>
    <w:p>
      <w:r>
        <w:t>A/1377/2019 - 4/9 -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CHF 1'500.- pour les couples (let. a), ainsi que les ressources et parts de fortune dont un ayant droit s’est dessaisi (let. g). b. 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 c. Aux termes de l’art. 14a de l’ordonnance sur les prestations complémentaires à l’assurance-vieillesse, survivants et invalidité du 15 janvier 1971 (OPC-AVS/AI - RS 831.301), « 1 Le revenu de l'activité lucrative des invalides est pris en compte sur la base du montant effectivement obtenu par l'assuré dans la période déterminante. 2 Pour les invalides âgés de moins de 60 ans, le revenu de l'activité lucrative à prendre en compte correspond au moins : a. au montant maximum destiné à la couverture des besoins vitaux des personnes seules selon l'art. 10, al. 1, let. a, ch. 1, LPC, augmenté d'un tiers, pour un taux</w:t>
      </w:r>
    </w:p>
    <w:p>
      <w:r>
        <w:t>A/1377/2019 - 5/9 - d'invalidité de 40 à moins de 50% ; b. au montant maximum destiné à la couverture des besoins selon la let. a, pour un taux d'invalidité de 50 à moins de 60% ; c. aux deux tiers du montant maximum destiné à la couverture des besoins vitaux selon la let. a, pour un taux d'invalidité de 60 à moins de 70%. 3 L'al. 2 n'est pas applicable si : a. l'invalidité de personnes sans activité lucrative a été établie conformément à l'art. 27 du règlement du 17 janvier 1961 sur l'assurance-invalidité, ou si b. l'invalide travaille dans un atelier au sens de l'art. 3, al. 1, let. a, de la loi fédérale du 6 octobre 2006 sur les institutions destinées à promouvoir l'intégration des personnes invalides (LIPPI) ». Il appartient à l'administration ou, en cas de recours, au juge, d'examiner si l'on peut exiger de l’assuré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w:t>
      </w:r>
    </w:p>
    <w:p>
      <w:r>
        <w:rPr>
          <w:b/>
        </w:rPr>
        <w:t>E. 8</w:t>
      </w:r>
    </w:p>
    <w:p>
      <w:r>
        <w:t>Aussi se justifie-t-il de prendre en considération, dans le calcul des prestations complémentaires dues à l’assuré de février à avril 2019, un gain potentiel à ajouter au revenu effectivement réalisé de CHF 15'201.-. Le SPC a indiqué que le gain potentiel avait été fixé à CHF 35'913.10 selon les normes de la convention collective de travail. Or, l’épouse de l’intéressé est soumise aux dispositions du contrat de travail pour les travailleurs de l’économie domestique, et plus particulièrement à l’art. 10 du contrat-type de travail avec salaires minimaux impératifs de l’économie domestique (CTT-Edom - J 1 50.03), selon lequel le salaire mensuel d’un employé non qualifié est de CHF 3'801.-, donc de CHF 1'900.50 pour un mi-temps, soit CHF 22'806.- par année. Le gain potentiel doit dès lors être pris en compte à concurrence de ce montant, et non de celui de CHF 35'913.10.</w:t>
      </w:r>
    </w:p>
    <w:p>
      <w:r>
        <w:rPr>
          <w:b/>
        </w:rPr>
        <w:t>E. 9</w:t>
      </w:r>
    </w:p>
    <w:p>
      <w:r>
        <w:t>Le recours est en conséquence admis partiellement. La cause est renvoyée au SPC pour nouveau calcul sur la base d’un gain potentiel de CHF 22'806.- et pour nouvelle décision.</w:t>
      </w:r>
    </w:p>
    <w:p>
      <w:r>
        <w:t>A/1377/2019 - 9/9 -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