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ATAS/183/2019 vom 6. März 2019</w:t>
      </w:r>
    </w:p>
    <w:p>
      <w:r>
        <w:t>GE Cour de justice, 2019-03-06, FR</w:t>
      </w:r>
    </w:p>
    <w:p>
      <w:r>
        <w:rPr>
          <w:b/>
        </w:rPr>
        <w:t xml:space="preserve">Quelle: </w:t>
      </w:r>
      <w:r>
        <w:t>https://mcp.opencaselaw.ch/entscheid/ge_gerichte_ATAS_183_2019</w:t>
      </w:r>
    </w:p>
    <w:p>
      <w:r>
        <w:t>FR: GE_GERICHTE ATAS/183/2019 du 6 mars 2019</w:t>
      </w:r>
    </w:p>
    <w:p>
      <w:r>
        <w:t>IT: GE_GERICHTE ATAS/183/2019 del 6 marzo 2019</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t>A/310/2018 - 14/22 -</w:t>
      </w:r>
    </w:p>
    <w:p>
      <w:r>
        <w:rPr>
          <w:b/>
        </w:rPr>
        <w:t>E. 2</w:t>
      </w:r>
    </w:p>
    <w:p>
      <w:r>
        <w:t>Interjeté dans les délai et forme prescrits par la loi, le recours est recevable (art. 56 ss LPGA).</w:t>
      </w:r>
    </w:p>
    <w:p>
      <w:r>
        <w:rPr>
          <w:b/>
        </w:rPr>
        <w:t>E. 3</w:t>
      </w:r>
    </w:p>
    <w:p>
      <w:r>
        <w:t>Est litigieuse, en l’occurrence, la question de savoir si le recourant peut prétendre à une rente d’invalidité.</w:t>
      </w:r>
    </w:p>
    <w:p>
      <w:r>
        <w:rPr>
          <w:b/>
        </w:rPr>
        <w:t>E. 4</w:t>
      </w:r>
    </w:p>
    <w:p>
      <w:r>
        <w:t>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b. En vertu de l’art. 28 al. 2 LAI, l’assuré a droit à une rente entière s’il est invalide à 70% au moins, à un trois-quarts de rente s'il est invalide à 60% au moins, à une demi-rente s’il est invalide à 50% au moins, ou à un quart de rente s’il est invalide à 40% au moins.</w:t>
      </w:r>
    </w:p>
    <w:p>
      <w:r>
        <w:rPr>
          <w:b/>
        </w:rPr>
        <w:t>E. 5</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6</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w:t>
      </w:r>
    </w:p>
    <w:p>
      <w:r>
        <w:t>A/310/2018 - 15/22 -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b/aa.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w:t>
      </w:r>
    </w:p>
    <w:p>
      <w:r>
        <w:rPr>
          <w:b/>
        </w:rPr>
        <w:t>E. 7</w:t>
      </w:r>
    </w:p>
    <w:p>
      <w:r>
        <w:t>a. Le juge des assurances sociales fonde sa décision, sauf dispositions contraires de la loi, sur les faits qui, faute d’être établis de manière irréfutable, apparaissent</w:t>
      </w:r>
    </w:p>
    <w:p>
      <w:r>
        <w:t>A/310/2018 - 16/22 -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b.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8</w:t>
      </w:r>
    </w:p>
    <w:p>
      <w:r>
        <w:t>En l’occurrence, l’intimé a retenu que le recourant présentait, depuis le 15 octobre 2012, une capacité de travail de 40% dans son activité habituelle et de 60% dans une activité adaptée, ce que le recourant conteste. À l'appui de sa position, l'intimé s'est fondé sur les conclusions du Dr H______ du SMR du 31 août 2017. Selon ce médecin, compte tenu des limitations fonctionnelles, de la fatigabilité, de l'impossibilité d'effectuer des efforts physiques et des résultats de l'enquête, il était en mesure de dire que la capacité de travail du recourant dans l'ancienne activité était de 40% et dans une activité adaptée de 60%. À la lecture de l’ensemble des pièces versées au dossier, la chambre de céans est toutefois d’avis que l’on ne saurait confirmer les conclusions du SMR, et ce pour les motifs qui suivent. On relèvera déjà que l'avis succinct du SMR du 31 août 2017 ne contient aucun diagnostic. Certes, le Dr H______ a-t-il renvoyé à l'avis du SMR du 30 mai 2016. Force est toutefois de constater que celui-ci portait uniquement sur les suites du</w:t>
      </w:r>
    </w:p>
    <w:p>
      <w:r>
        <w:t>A/310/2018 - 17/22 - cancer du recourant, soit une asthénie marquée et un dumping syndrome post- oesophagectomie, alors qu'il n'est pas contesté que le recourant présentait également de l'arthrose des mains et un syndrome post-thrombotique du membre supérieur droit (cf. avis du SMR du 24 août 2015). En outre, l'avis du Dr H______ n'indique pas à partir de quelle date les taux de capacités de travail retenus - 40% dans l’activité habituelle et 60% dans une activité adaptée - seraient valables. Par ailleurs, s’agissant de la capacité de travail du recourant dans son activité habituelle, soit 40%, on relèvera que si la Dresse C______ a certes fait état d’une telle capacité à compter du 1er janvier 2016 (rapports des 15 décembre 2015 et 2 mai 2016), force est toutefois de relever que pour la période antérieure au 1er janvier 2016, aucun médecin ayant examiné le recourant n’a estimé que ce dernier présentait une telle capacité de travail. En outre, alors que le SMR avait considéré que l’appréciation de la capacité de travail résiduelle du recourant dans une activité complètement adaptée et légère devait se faire par une observation en situation (cf. avis du 30 mai 2016), on peine à comprendre comment le Dr H______ est parvenu à la conclusion que la capacité de travail du recourant dans une activité adaptée était de 60%, alors qu'aucune observation en situation n'a été effectuée au préalable. De surcroît, aucun médecin ayant examiné le recourant ne s’était prononcé sur le taux de sa capacité de travail résiduelle. En procédant de la sorte, le SMR a ainsi posé de nouvelles conclusions, alors qu’il doit se limiter à porter une appréciation sur celles déjà existantes (arrêt du Tribunal fédéral 9C_518/2007 du 14 juillet 2008 consid. 3.2 et les références citées). Enfin, la teneur de l'avis du SMR du 24 août 2015, selon lequel l'APG avait retenu une « capacité de travail » de 62% dès le 15 octobre 2014 - alors qu'il s'agissait en réalité d'une « capacité de gain » de 62% - (cf. pièces 24 page 1 chargé intimé et 29 chargé recourant), laisse à penser que le Dr H______ s’est fondé, à tort, sur l’information transmise par l’APG pour retenir également une capacité de travail de 60% dans une activité adaptée. Pour l'ensemble de ces motifs, force est de constater que les rapports versés à la procédure ne permettent pas de confirmer l'appréciation de l'intimé, à savoir que le recourant présentait, dès le 15 octobre 2012, une capacité de travail de 40% dans son activité habituelle et de 60% dans une activité adaptée. Par ailleurs, s’agissant des atteintes invoquées pour la première fois par le recourant dans son écriture du 27 août 2018, la chambre de céans rappellera que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w:t>
      </w:r>
    </w:p>
    <w:p>
      <w:r>
        <w:t>A/310/2018 - 18/22 - cités ; arrêt du Tribunal fédéral des assurances I 321/04 du 18 juillet 2005 consid. 5). En l'occurrence, si le trouble dépressif récurrent et la polyneuropathie sensitivo- motrice ont certes été diagnostiqués postérieurement à la décision litigieuse du 7 décembre 2017, les rapports versés à la procédure ne permettent toutefois pas d'exclure que ces atteintes n'avaient pas déjà une influence sur la capacité de travail du recourant avant le 7 décembre 2017 (date déterminante de la décision litigieuse), ce d'autant plus qu'en juin 2015, le Dr F______ avait déjà recommandé, au vu des plaintes du recourant, d'effectuer des investigations neurologiques et psychologiques (cf. rapport du 16 juin 2015, p. 3). Compte tenu de l'ensemble de ces éléments, la chambre de céans n'est pas en mesure de statuer en l'état actuel du dossier, dès lors qu'il ne contient pas les éléments suffisants et probants permettant une appréciation adéquate des atteintes à la santé dont souffrait le recourant, leurs éventuelles limitations fonctionnelles et répercussions sur sa capacité de travail dans son activité habituelle et dans une activité adaptée. Il convient dès lors de renvoyer la cause à l'intimé afin qu'il ordonne un complément d'instruction sous la forme notamment d'une expertise médicale indépendante auprès de médecins spécialisés en gastroentérologie, médecine interne, neurologie, et psychiatrie. Les conditions jurisprudentielles d’un tel renvoi sont d’autant plus remplies que l'intimé n'a mis en oeuvre aucune expertise. En cas de nécessité, un stage d'observation professionnelle visant à clarifier le rendement exigible et les activités qui demeurent à la portée de l'intéressé sera également organisé.</w:t>
      </w:r>
    </w:p>
    <w:p>
      <w:r>
        <w:rPr>
          <w:b/>
        </w:rPr>
        <w:t>E. 9</w:t>
      </w:r>
    </w:p>
    <w:p>
      <w:r>
        <w:t>Il convient à présent d’examiner le calcul du degré d’invalidité effectué par l'intimé.</w:t>
      </w:r>
    </w:p>
    <w:p>
      <w:r>
        <w:rPr>
          <w:b/>
        </w:rPr>
        <w:t>E. 10</w:t>
      </w:r>
    </w:p>
    <w:p>
      <w:r>
        <w:t>a. Pour évaluer celui-ci, il existe principalement trois méthodes - la méthode générale de comparaison des revenus, la méthode spécifique et la méthode mixte - dont l'application dépend du statut du bénéficiaire potentiel de la rente : assuré exerçant une activité lucrative à temps complet, assuré sans activité lucrative, assuré exerçant une activité lucrative à temps partiel (ATF 137 V 334 consid. 3.1).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 RAMA 1996 n° U 237 p. 36 consid. 3b). b. Chez les assurés qui exerçaient une activité lucrative à plein temps avant d'être atteints dans leur santé physique, mentale ou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 c'est</w:t>
      </w:r>
    </w:p>
    <w:p>
      <w:r>
        <w:t>A/310/2018 - 19/22 - la méthode générale de comparaison des revenus (art. 28a al. 1 LAI en corrélation avec l'art. 16 LPGA) et ses sous-variantes, la méthode de comparaison en pour-cent et la méthode extraordinaire de comparaison des revenus (ATF 137 V 334 consid. 3.1.1 et les références). b/aa. Dans le cas d’un indépendant, le degré d’invalidité ne saurait être déterminé en appliquant la méthode de la comparaison en pour-cent, cette méthode ne prenant pas en considération le fait que la gestion d'une structure commerciale engendre des charges fixes et incompressibles, telles que loyer, mobilier ou assurances, qui sont indépendantes de la variation du degré d'activité. Une diminution du chiffre d'affaires ne se traduit donc pas par une diminution proportionnelle du bénéfice. De telles circonstances nécessitent bien plutôt l'examen concret de la situation de la personne assuré (arrêt du Tribunal fédéral 9C_44/2011 du 1er septembre 2011 consid. 4.2 et 4.3). b/bb. Chez une personne de condition indépendante, la comparaison des résultats d'exploitation réalisés dans son entreprise avant et après la survenance de l'invalidité ne permet de tirer des conclusions valables sur la diminution de la capacité de gain due à l'invalidité que dans le cas où l'on peut exclure au degré de vraisemblance prépondérante que les résultats de l'exploitation aient été influencés par des facteurs étrangers à l'invalidité. En effet, les résultats d'exploitation d'une entreprise dépendent souvent de nombreux paramètres difficiles à apprécier, tels que la situation conjoncturelle, la concurrence, l'aide ponctuelle des membres de la famille, des personnes intéressées dans l'entreprise ou des collaborateurs. Généralement, les documents comptables ne permettent pas, en pareils cas, de distinguer la part du revenu qu'il faut attribuer à ces facteurs - étrangers à l'invalidité - et celle qui revient à la propre prestation de travail de l'assuré (arrêts du Tribunal fédéral 9C_46/2016 du 10 août 2016 consid. 2.1 et 9C_44/2011 du 1er septembre 2011 consid. 3.3 et les références). b/cc. Si l'on ne peut déterminer ou évaluer sûrement les deux revenus en cause, il faut, en s'inspirant de la méthode spécifique pour personnes sans activité lucrative (art. 28a al. 2 LAI en corrélation avec les art. 27 RAI et 8 al. 3 LPGA), procéder à une comparaison des activités et évaluer le degré d'invalidité d'après l'incidence de la capacité de rendement amoindrie sur la situation économique concrète (procédure extraordinaire d'évaluation de l'invalidité). La différence fondamentale entre la procédure extraordinaire d'évaluation et la méthode spécifique réside dans le fait que l'invalidité n'est pas évaluée directement sur la base d'une comparaison des activités; on commence par déterminer, au moyen de cette comparaison,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w:t>
      </w:r>
    </w:p>
    <w:p>
      <w:r>
        <w:t>A/310/2018 - 20/22 - le principe légal selon lequel l'invalidité, pour cette catégorie d'assurés, doit être déterminée d'après l'incapacité de gain (ATF 128 V 29 consid. 1 p. 30 et les références).</w:t>
      </w:r>
    </w:p>
    <w:p>
      <w:r>
        <w:rPr>
          <w:b/>
        </w:rPr>
        <w:t>E. 11</w:t>
      </w:r>
    </w:p>
    <w:p>
      <w:r>
        <w:t>En l’espèce, l’intimé a évalué le degré d’invalidité du recourant en appliquant la méthode ordinaire de comparaison des revenus. Afin de déterminer le revenu sans invalidité, l’intimé s’est fondé sur les résultats du compte pertes et profits de l’année 2009 et s'agissant du revenu avec invalidité, l'intimé a effectué une moyenne des résultats d'exploitation des années 2014 à 2016 (cf. rapport d'enquête économique du 21 septembre 2017). Compte tenu de l'ensemble des pièces versées au dossier, la chambre de céans est toutefois d'avis que le résultat de l’entreprise pour l'année 2009 ne saurait être retenu en tant que revenu sans invalidité étant donné qu’il est établi, et non contesté par l'intimé (cf. enquête économique du 14 juillet 2017) que le recourant souffrait déjà d'une rhizarthrose bilatérale cette année-là (cf. expertise du Dr D______, p. 5 et avis du SMR du 24 août 2015) entraînant une incapacité de travail dès octobre 2009 (cf. pièce 28 p. 91 chargé intimé). Par ailleurs, les années antérieures à 2009 ne sauraient être prises en compte, en l’état, dès lors que le recourant allègue avoir souffert d’une dépendance à l’alcool dès 2001 avec des répercussions sur son travail. Si les pièces versées au dossier ne permettent pas d’établir si cette atteinte a eu effectivement des conséquences sur la capacité de travail du recourant, il n’en demeure pas moins qu’il est établi que le recourant a souffert de cette addiction et qu’il est sevré depuis 2009 (expertise du Dr D______ p.4 et expertise du Dr F______, p. 3). Quoi qu'il en soit, quand bien même le recourant disposait encore d’une capacité de travail dans son activité habituelle, on ne peut procéder, comme l’a fait l’intimé, en se fondant sur les résultats de l’entreprise avant et après invalidité. En effet, les données comptables de l'entreprise du recourant ne sauraient constituer une base valable pour évaluer son incapacité de gain, car elles ne permettent pas de distinguer la part du revenu qui résulte exclusivement de la prestation personnelle de travail du recourant de celle qu'il faut attribuer à des facteurs étrangers. Comme l'a relevé l'intimé lui-même, au vu d'un chiffre d'affaire bas, toute variation, même faible, au niveau des charges avait une importance sur le résultat de l'entreprise (enquête économique du 14 juillet 2017, p. 10). En outre, en raison de ses atteintes à la santé, le recourant a été contraint de sous-traiter une partie de ses activités, de sorte qu'il n’est pas possible de tirer de ces chiffres une appréciation pertinente des effets sur la capacité personnelle de gain du recourant de la diminution de sa capacité de rendement due à l'invalidité. L'incapacité de gain du recourant ne saurait se confondre avec la diminution du bénéfice d'exploitation de son entreprise, dans la mesure où ce raisonnement fait fi des circonstances - étrangères à l'invalidité - qui ont influencé la part du revenu qu'il faut attribuer à ces facteurs et celle qui revient à la propre prestation de travail de l’assuré. Au demeurant, la chambre de céans relèvera que dans le cadre de l'enquête économique du 14 juillet 2017, l'intimé était également parvenu à cette conclusion, considérant</w:t>
      </w:r>
    </w:p>
    <w:p>
      <w:r>
        <w:t>A/310/2018 - 21/22 - qu'au vu des éléments autres que l'atteinte à la santé (éléments économiques et organisationnels), il était difficile de se fier à la comptabilité de l'entreprise (p. 10 du rapport d'enquête économique du 14 juillet 2017). Or, de manière contradictoire, l'intimé s'est tout de même fondé sur les résultats de l'entreprise pour fixer les revenus sans et avec invalidité du recourant. Partant, le calcul de l'invalidité, tel qu'effectué par l'intimé, n’est ainsi pas de nature à permettre une évaluation conforme au droit des effets des atteintes à la santé sur la capacité de gain du recourant.</w:t>
      </w:r>
    </w:p>
    <w:p>
      <w:r>
        <w:rPr>
          <w:b/>
        </w:rPr>
        <w:t>E. 12</w:t>
      </w:r>
    </w:p>
    <w:p>
      <w:r>
        <w:t>Compte tenu de ce qui précède, le recours sera admis partiellement. La décision litigieuse sera annulée et la cause sera renvoyée à l'intimé pour mise en œuvre d'une expertise pluridisciplinaire et, le cas échéant, d'un stage d'observation professionnelle. Cela fait, il appartiendra à l'intimé d'effectuer une nouvelle évaluation de l'invalidité et de rendre une nouvelle décision.</w:t>
      </w:r>
    </w:p>
    <w:p>
      <w:r>
        <w:rPr>
          <w:b/>
        </w:rPr>
        <w:t>E. 13</w:t>
      </w:r>
    </w:p>
    <w:p>
      <w:r>
        <w:t>Le recourant obtenant gain de cause, une indemnité de CHF 3'500.- lui sera accordée à titre de participation à ses frais et dépens (art. 61 let. g LPGA ; art. 89 H de la loi sur la procédure administrative du 12 septembre 1985 [LPA - E 5 10]; art. 6 du règlement sur les frais, émoluments et indemnités en procédure administrative du 30 juillet 1986 [RFPA - E 5 10.03]).</w:t>
      </w:r>
    </w:p>
    <w:p>
      <w:r>
        <w:rPr>
          <w:b/>
        </w:rPr>
        <w:t>E. 14</w:t>
      </w:r>
    </w:p>
    <w:p>
      <w:r>
        <w:t>Un émolument de CHF 500.- sera mis à la charge de l'intimé (art. 69 al. 1bis LAI).</w:t>
      </w:r>
    </w:p>
    <w:p>
      <w:r>
        <w:t>A/310/2018 - 22/22 -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