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ATAS/183/2016 vom 3. März 2016</w:t>
      </w:r>
    </w:p>
    <w:p>
      <w:r>
        <w:t>GE Cour de justice, 2016-03-03, FR</w:t>
      </w:r>
    </w:p>
    <w:p>
      <w:r>
        <w:rPr>
          <w:b/>
        </w:rPr>
        <w:t xml:space="preserve">Quelle: </w:t>
      </w:r>
      <w:r>
        <w:t>https://mcp.opencaselaw.ch/entscheid/ge_gerichte_ATAS_183_2016</w:t>
      </w:r>
    </w:p>
    <w:p>
      <w:r>
        <w:t>FR: GE_GERICHTE ATAS/183/2016 du 3 mars 2016</w:t>
      </w:r>
    </w:p>
    <w:p>
      <w:r>
        <w:t>IT: GE_GERICHTE ATAS/183/2016 del 3 marzo 2016</w:t>
      </w:r>
    </w:p>
    <w:p>
      <w:pPr>
        <w:pStyle w:val="Heading2"/>
      </w:pPr>
      <w:r>
        <w:t>Erwägungen</w:t>
      </w:r>
    </w:p>
    <w:p>
      <w:r>
        <w:rPr>
          <w:b/>
        </w:rPr>
        <w:t>E. 10</w:t>
      </w:r>
    </w:p>
    <w:p>
      <w:r>
        <w:t>À l’issue de l’audience, la cause a été gardée à juger.</w:t>
      </w:r>
    </w:p>
    <w:p>
      <w:r>
        <w:t>EN DROIT</w:t>
      </w:r>
    </w:p>
    <w:p>
      <w:r>
        <w:t>1. Conformément à l'art. 134 al. 3 let. b de la loi sur l'organisation judiciaire, du 26 septembre 2010 (LOJ ; RS E 2 05) en vigueur depuis le 1er janvier 2011, la chambre des assurances sociales de la Cour de justice connaît, en instance unique, des contestations prévues à l’art. 49 al. 3 de la loi en matière de chômage, du</w:t>
      </w:r>
    </w:p>
    <w:p>
      <w:r>
        <w:rPr>
          <w:b/>
        </w:rPr>
        <w:t>E. 11</w:t>
      </w:r>
    </w:p>
    <w:p>
      <w:r>
        <w:t>novembre 1983, en matière de prestations cantonales complémentaires (LMC ; J 2 20). Sa compétence pour juger du cas d’espèce est ainsi établie. 2. La LMC ne contenant aucune norme de renvoi à la loi fédérale sur la partie générale du droit des assurances sociales du 6 octobre 2000 (LPGA - RS 830.1), cette dernière n'est pas applicable (art. 1 et 2 LPGA). 3. Interjeté dans les forme et délai prévus par la loi, le recours est recevable (art. 49 al. 3 LMC et art. 89B de la loi sur la procédure administrative du 12 septembre 1985 [LPA ; E 5 10]). 4. La loi genevoise en matière de chômage vise à favoriser le placement rapide et durable des chômeurs dans le marché de l'emploi et à renforcer leurs compétences par l'octroi de mesures d'emploi, de formation et de soutien à la réinsertion. Elle</w:t>
      </w:r>
    </w:p>
    <w:p>
      <w:r>
        <w:t>A/3939/2015 - 5/7 - institue pour les chômeurs des prestations cantonales complémentaires à celles prévues par l'assurance-chômage fédérale (art. 1 let. b à d LMC).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 2). 5.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w:t>
      </w:r>
    </w:p>
    <w:p>
      <w:r>
        <w:t>A/3939/2015 - 6/7 -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ATF 123 III 86). 6.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 ci est de bonne foi et que la restitution le mettrait dans une situation financière difficile (art. 48B al. 2 LMC). 7. En l'espèce, il est établi que l'employeur a résilié le contrat de travail pour le 31 août 2015, soit avant l'échéance de la période d'ARE, prévue pour le 8 septembre 2016. Le recourant invoque le fait qu'il avait de justes motifs pour résilier le contrat de l'employé avant l'échéance de l'ARE et qu'il ne serait, de ce fait, pas tenu de restituer les allocations touchées. Peu importe qu’il existe ou non de justes motifs en l’occurrence, dans la mesure où, quoi qu'il en soit, l'employé n'a concrètement pas été licencié sur la base de l'art. 337 CO. Force est de constater que, dans les faits, l'employeur a renoncé à se prévaloir d'un licenciement pour justes motifs, dont on rappellera qu’ils doivent être invoqués sans tarder sous peine de forclusion. Eu égard aux considérations qui précèdent, c’est à juste titre que la restitution de l’ARE a été réclamée, de sorte qu’il n’y a pas lieu d’examiner si le fait que l’employé ait travaillé pour une société s’étant vu refuser l’ARE constitue un motif supplémentaire de révocation. Le recours est donc rejeté, étant précisé qu’il est loisible à l’intimé de saisir la justice pénale s’il le juge nécessaire. Il y a encore lieu de préciser que la question de la remise de l’obligation de restituer fait l’objet d’une procédure distincte, une fois la décision en restitution entrée en force.</w:t>
      </w:r>
    </w:p>
    <w:p>
      <w:r>
        <w:t>A/3939/2015 - 7/7 -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