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ATAS/183/2015 vom 17. Januar 2006</w:t>
      </w:r>
    </w:p>
    <w:p>
      <w:r>
        <w:t>GE Cour de justice, 2006-01-17, FR</w:t>
      </w:r>
    </w:p>
    <w:p>
      <w:r>
        <w:rPr>
          <w:b/>
        </w:rPr>
        <w:t xml:space="preserve">Quelle: </w:t>
      </w:r>
      <w:r>
        <w:t>https://mcp.opencaselaw.ch/entscheid/ge_gerichte_ATAS_183_2015</w:t>
      </w:r>
    </w:p>
    <w:p>
      <w:r>
        <w:t>FR: GE_GERICHTE ATAS/183/2015 du 17 janvier 2006</w:t>
      </w:r>
    </w:p>
    <w:p>
      <w:r>
        <w:t>IT: GE_GERICHTE ATAS/183/2015 del 17 gennaio 2006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En vertu de l’art. 54 al. 1 let. c LPGA, les décisions et décisions sur opposition sont exécutoires lorsque l’effet suspensif attribué à une opposition ou un recours a été retiré, étant précisé qu'en vertu de l'art. 97 de la loi fédérale sur l'assurance- vieillesse et survivants (LAVS ; RS 831.10) - applicable en vertu de l'art. 66 LAI -, les autorités administratives peuvent prévoir, dans leur décision, qu'un recours éventuel n'aura pas d'effet suspensif, même si la décision porte sur une prestation pécuniaire.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à la poursuite du paiement de la rente revient en réalité à requérir des mesures provisionnelles tendant au paiement de prestations pécuniaires au sens de l’art. 56 PA.</w:t>
      </w:r>
    </w:p>
    <w:p>
      <w:r>
        <w:t>A/3284/2014 - 7/9 -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w:t>
      </w:r>
    </w:p>
    <w:p>
      <w:r>
        <w:rPr>
          <w:b/>
        </w:rPr>
        <w:t>E. 5</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w:t>
      </w:r>
    </w:p>
    <w:p>
      <w:r>
        <w:t>A/3284/2014 - 8/9 -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On ajoutera que, dans le contexte de la révision du droit à la rente, l'intérêt de l'assurée à pouvoir continuer à bénéficier de la rente qu'elle percevait jusqu'alors n'est pas d'une importance décisive, tant qu'il n'y a pas lieu d'admettre que, selon toute vraisemblance, elle l'emportera dans la cause principale. La situation matérielle difficile dans laquelle se trouve l'assurée depuis la diminution du montant de sa rente d'invalidité ne saurait à cet égard constituer un élément déterminant. En pareilles circonstances, l'intérêt de l'administration apparaît généralement prépondérant puisque, dans l'hypothèse où l'assurée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w:t>
      </w:r>
    </w:p>
    <w:p>
      <w:r>
        <w:rPr>
          <w:b/>
        </w:rPr>
        <w:t>E. 6</w:t>
      </w:r>
    </w:p>
    <w:p>
      <w:r>
        <w:t>Or, en l’espèce, les prévisions sur l'issue du litige ne présentent pas, pour l'assurée, un degré de certitude suffisant pour qu'elles soient prises en considération. Force est de constater que c’est le psychiatre traitant lui-même qui a fait état d’une nette amélioration de l’état de santé de sa patiente. Au surplus, les documents médicaux produits en l’état par l’intéressée ne corroborent pas l’aggravation qu’elle allègue puisqu’ils font état d’un trouble dépressif récurrent de gravité moyenne alors même que l’expertise sur laquelle s’est basée l’intimé pour reconnaître à l’assurée le droit à une demi-rente concluait à l’époque à un épisode de gravité moyenne à sévère. Prima facie, l’amélioration dont fait état le Dr B______ semble donc corroborée. Il s'ensuit que seul un examen détaillé des pièces médicales versées au dossier permettra de répondre à la question de savoir si la révision du droit à la rente est, dans le cas particulier, justifiée.</w:t>
      </w:r>
    </w:p>
    <w:p>
      <w:r>
        <w:rPr>
          <w:b/>
        </w:rPr>
        <w:t>E. 7</w:t>
      </w:r>
    </w:p>
    <w:p>
      <w:r>
        <w:t>Eu égard aux considérations qui précèdent, la demande de restitution de l'effet suspensif est rejetée.</w:t>
      </w:r>
    </w:p>
    <w:p>
      <w:r>
        <w:t>A/3284/2014 - 9/9 - PAR CES MOTIFS, LA CHAMBRE DES ASSURANCES SOCIALES : Statuant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