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ATAS/183/2011 vom 17. Februar 2011</w:t>
      </w:r>
    </w:p>
    <w:p>
      <w:r>
        <w:t>GE Cour de justice, 2011-02-17, FR</w:t>
      </w:r>
    </w:p>
    <w:p>
      <w:r>
        <w:rPr>
          <w:b/>
        </w:rPr>
        <w:t xml:space="preserve">Quelle: </w:t>
      </w:r>
      <w:r>
        <w:t>https://mcp.opencaselaw.ch/entscheid/ge_gerichte_ATAS_183_2011</w:t>
      </w:r>
    </w:p>
    <w:p>
      <w:r>
        <w:t>FR: GE_GERICHTE ATAS/183/2011 du 17 février 2011</w:t>
      </w:r>
    </w:p>
    <w:p>
      <w:r>
        <w:t>IT: GE_GERICHTE ATAS/183/2011 del 17 febbraio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A/2908/2010 - 5/7 -</w:t>
      </w:r>
    </w:p>
    <w:p>
      <w:r>
        <w:rPr>
          <w:b/>
        </w:rPr>
        <w:t>E. 2</w:t>
      </w:r>
    </w:p>
    <w:p>
      <w:r>
        <w:t>Le recours, interjeté dans les forme et délai prévus par la loi (art. 56 à 60 LPGA), est recevable.</w:t>
      </w:r>
    </w:p>
    <w:p>
      <w:r>
        <w:rPr>
          <w:b/>
        </w:rPr>
        <w:t>E. 3</w:t>
      </w:r>
    </w:p>
    <w:p>
      <w:r>
        <w:t>Le litige porte sur la suspension des indemnités de chômage de la recourante pour une durée de 35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une suspension du droit à l'indemnité est prévue lorsqu'il est établi que l'assuré ne fait pas tout ce qu'on peut raisonnablement exiger de lui pour trouver un travail convenable (let. d) ou encore lorsqu'il donne de fausses indications (let. 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w:t>
      </w:r>
    </w:p>
    <w:p>
      <w:r>
        <w:t>A/2908/2010 - 6/7 -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w:t>
      </w:r>
    </w:p>
    <w:p>
      <w:r>
        <w:rPr>
          <w:b/>
        </w:rPr>
        <w:t>E. 9</w:t>
      </w:r>
    </w:p>
    <w:p>
      <w:r>
        <w:t>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 7. En l’espèce, la recourante affirme avoir été dans l'incapacité de respecter l'assignation qui lui a été faite en raison de son état de santé. Force est cependant de constater qu'elle a accompli - selon ses dires - deux autres recherches dans le courant du mois en question. On voit dès lors mal - même en cas d'anémie sévère - ce qui aurait pu l'empêcher d'envoyer un courriel à l'employeur potentiel qui lui avait été signalé. Quoi qu'il en soit, on relèvera que ce n'est pas le seul manquement dont s'est rendue coupable l'assurée puisqu'elle a également donné des indications fausses à l'OCE. Ses explications à cet égard ne convainquent guère : en effet, le formulaire du mois de mars est signé du 4 avril 2010. En admettant même que la recourante l'ait rempli à l'avance, il n'en demeure pas moins qu'au moment où elle l'a envoyé, elle n'ignorait pas qu'il ne correspondait aucunement à la réalité des faits et qu'elle ne pourrait plus y remédier, le mois de mars étant déjà écoulé. Il y a donc bel et bien eu faute grave de la part de l'assurée, de sorte que le recours est rejeté et la sanction confirmée.</w:t>
      </w:r>
    </w:p>
    <w:p>
      <w:r>
        <w:t>A/2908/2010 - 7/7 -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