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ATAS/183/2008 vom 19. Februar 2008</w:t>
      </w:r>
    </w:p>
    <w:p>
      <w:r>
        <w:t>GE Cour de justice, 2008-02-19, FR</w:t>
      </w:r>
    </w:p>
    <w:p>
      <w:r>
        <w:rPr>
          <w:b/>
        </w:rPr>
        <w:t xml:space="preserve">Quelle: </w:t>
      </w:r>
      <w:r>
        <w:t>https://mcp.opencaselaw.ch/entscheid/ge_gerichte_ATAS_183_2008</w:t>
      </w:r>
    </w:p>
    <w:p>
      <w:r>
        <w:t>FR: GE_GERICHTE ATAS/183/2008 du 19 février 2008</w:t>
      </w:r>
    </w:p>
    <w:p>
      <w:r>
        <w:t>IT: GE_GERICHTE ATAS/183/2008 del 19 febbraio 2008</w:t>
      </w:r>
    </w:p>
    <w:p>
      <w:pPr>
        <w:pStyle w:val="Heading2"/>
      </w:pPr>
      <w:r>
        <w:t>Erwägungen</w:t>
      </w:r>
    </w:p>
    <w:p>
      <w:r>
        <w:rPr>
          <w:b/>
        </w:rPr>
        <w:t>E. 31</w:t>
      </w:r>
    </w:p>
    <w:p>
      <w:r>
        <w:t>décembre 2002: art. 28 al. 3 LAI en corrélation avec l'art. 27 al. 1 et 2 du règlement sur l'assurance-invalidité du 17 janvier 1961 - RAI; du 1er janvier au 31 décembre 2003: art. 28 al. 3 LAI en corrélation avec les art. 27 al. 1 et 2 RAI et 8 al. 3 LPGA; depuis le 1er janvier 2004: art. 28 al. 2bis LAI en corrélation avec les art. 27 RAI et 8 al. 3 LPGA);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Qu'en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Qu'en l'espèce les conclusions du médecin traitant ne peuvent être suivies, au vu des considérations susmentionnées et du fait qu'elles ne sont pas convaincantes, et contredites par l'appréciation de SMR ;</w:t>
      </w:r>
    </w:p>
    <w:p>
      <w:r>
        <w:t>A/370/2007 - 5/6 - Qu'il apparaît en effet que les troubles dont souffre la recourante ne devraient pas l'empêcher d'exercer une activité adaptée, ni l'empêcher d'accomplir les activités ménagères, et qu'ils ne font pas tous l'objet d'un traitement adéquat puisque la dysthymie ne donne lieu à aucun traitement, comme l'a relevé le SMR ; Que la situation médicale de la recourante est claire, et qu'elle ne réclame pas d'investigations complémentaires; Que l'on peut relever qu'aux yeux du Tribunal la recourante est une ménagère, et qu'il sera rappelé qu'elle doit pouvoir se faire aider, pour cette activité, par ses enfants, nombreux en l'occurrence, conformément à son obligation de réduire le dommage (cf. ATF 123 V 233 consid. 3c et les références); Qu'en effet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(RCC 1984 p. 143 consid. 5). Dans le cadre de l'évaluation de l'invalidité dans les travaux habituels, l'aide des membres de la famille (en particulier celle des enfants) va au-delà de ce qu'on peut attendre de ceux-ci, si la personne assurée n'est pas atteinte dans sa santé (ATFA non publiés du 8 novembre 1993, I 407/92 et du 11 août 2003, I 681/02); Que c'est par conséquent à juste titre que l'OCAI a refusé toute prestation à la recourante, de sorte que le recours sera rejeté; Que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l'introduction d'un émolument, qui doit se situer entre 200 fr. et 1'000 fr. (art. 69 al. 1 bis LAI). En l'espèce, le présent cas est soumis au nouveau droit (ch. II let. c des dispositions transitoires relatives à la modification du 16 décembre 2005).</w:t>
      </w:r>
    </w:p>
    <w:p>
      <w:r>
        <w:t>A/370/2007 - 6/6 -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