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ATAS/182/2019 vom 6. März 2019</w:t>
      </w:r>
    </w:p>
    <w:p>
      <w:r>
        <w:t>GE Cour de justice, 2019-03-06, FR</w:t>
      </w:r>
    </w:p>
    <w:p>
      <w:r>
        <w:rPr>
          <w:b/>
        </w:rPr>
        <w:t xml:space="preserve">Quelle: </w:t>
      </w:r>
      <w:r>
        <w:t>https://mcp.opencaselaw.ch/entscheid/ge_gerichte_ATAS_182_2019</w:t>
      </w:r>
    </w:p>
    <w:p>
      <w:r>
        <w:t>FR: GE_GERICHTE ATAS/182/2019 du 6 mars 2019</w:t>
      </w:r>
    </w:p>
    <w:p>
      <w:r>
        <w:t>IT: GE_GERICHTE ATAS/182/2019 del 6 marzo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est recevable (art. 56 à 60 LPGA).</w:t>
      </w:r>
    </w:p>
    <w:p>
      <w:r>
        <w:rPr>
          <w:b/>
        </w:rPr>
        <w:t>E. 3</w:t>
      </w:r>
    </w:p>
    <w:p>
      <w:r>
        <w:t>Le litige porte sur le droit du recourant à des prestations de l’intimée en lien avec l’événement du 9 avril 2016 au-delà du 30 avril 2016, notamment sur le point de savoir si cet événement relève d’une lésion assimilée à un accident.</w:t>
      </w:r>
    </w:p>
    <w:p>
      <w:r>
        <w:rPr>
          <w:b/>
        </w:rPr>
        <w:t>E. 4</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8C_194/2015 du 11 août 2015 consid. 3).</w:t>
      </w:r>
    </w:p>
    <w:p>
      <w:r>
        <w:t>A/2313/2017 - 15/24 -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5</w:t>
      </w:r>
    </w:p>
    <w:p>
      <w:r>
        <w:t>On soulignera que les dispositions légales et réglementaires relatives aux lésions assimilées à un accident ont fait l’objet d’une modification le 25 septembre 2015, entrée en vigueur le 1er janvier 2017. Dans la mesure où l'accident est survenu avant cette date, le droit du recourant aux prestations d'assurance reste soumis à l'ancien droit (cf. dispositions transitoires relatives à la modification du 25 septembre 2015 ; arrêt du Tribunal fédéral 8C_662/2016 du 23 mai 2017 consid. 2.2). Les dispositions légales seront citées dans leur ancienne teneur Jusqu’au 31 décembre 2016, l’art. 6 al. 2 aLAA conférait au Conseil fédéral la compétence d’étendre la prise en charge par l’assurance-accidents à des lésions assimilables à un accident. Aux termes de l'ancien 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w:t>
      </w:r>
    </w:p>
    <w:p>
      <w:r>
        <w:rPr>
          <w:b/>
        </w:rPr>
        <w:t>E. 6</w:t>
      </w:r>
    </w:p>
    <w:p>
      <w:r>
        <w:t>La jurisprudence a précisé les conditions d'octroi des prestations en cas de lésion corporelle assimilée à un accident. C'est ainsi qu'à l'exception du caractère « extraordinaire » de la cause extérieure, toutes les autres conditions constitutives</w:t>
      </w:r>
    </w:p>
    <w:p>
      <w:r>
        <w:t>A/2313/2017 - 16/24 - de la notion d'accident doivent être réalisées (ATF 129 V 466 consid. 2.2 ; arrêt du Tribunal fédéral 8C_662/2016 du 23 mai 2017 consid. 4.2).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aOLAA, les troubles constatés ne sont pas à la charge de l'assurance-accidents (ATF 129 V 466 consid. 4.2).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du 23 mai 2017 précité, consid. 4.2). Ainsi, celui qui ressent une vive douleur, symptôme d'une des lésions énumérées à l’art. 9 al. 2 aOLAA,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w:t>
      </w:r>
    </w:p>
    <w:p>
      <w:r>
        <w:t>A/2313/2017 - 17/24 - discrète et courante (ATF 116 V 145 consid. 2c ; arrêt du Tribunal fédéral des assurances U 362/06 du 4 juillet 2007 consid. 3).</w:t>
      </w:r>
    </w:p>
    <w:p>
      <w:r>
        <w:rPr>
          <w:b/>
        </w:rPr>
        <w:t>E. 7</w:t>
      </w:r>
    </w:p>
    <w:p>
      <w:r>
        <w:t>L'existence d'une cause extérieure permettant d'assimiler une lésion au sens de l’art. 9 al. 2 aOLAA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w:t>
      </w:r>
    </w:p>
    <w:p>
      <w:r>
        <w:rPr>
          <w:b/>
        </w:rPr>
        <w:t>E. 8</w:t>
      </w:r>
    </w:p>
    <w:p>
      <w:r>
        <w:t>août 2008 consid. 4.1.2).</w:t>
      </w:r>
    </w:p>
    <w:p>
      <w:r>
        <w:rPr>
          <w:b/>
        </w:rPr>
        <w:t>E. 9</w:t>
      </w:r>
    </w:p>
    <w:p>
      <w:r>
        <w:t>Dans la mesure où le droit aux prestations est subordonné à l’existence d’une lésion assimilée à un accident, il convient en préambule de rappeler ce qui suit. a)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b) En l’espèce, eu égard à ce qui précède, l’intimée ne peut tirer argument des déclarations prétendument contradictoires du recourant. En effet, la déclaration de sinistre initiale n’a pas été signée par l’intéressé. De plus, la description succincte de l’événement ne permet pas d’exclure qu’il a accompli le mouvement décrit par la suite. Au sujet des faits tels que rapportés par le Dr D______, ils ne peuvent être opposés au recourant, qui n’a pu en prendre connaissance ou en demander la rectification avant la reddition du rapport d’expertise. Directement interpellé sur les circonstances de l’événement du 9 avril 2016, le recourant a exposé en mai 2016 qu’il avait voulu rattraper un carton en train de tomber lorsque le craquement était survenu. Il n’a jamais auparavant donné de version divergente sur les circonstances exactes de cet événement, de sorte qu’il n’existe pas de motif de s’en écarter. Il n’est du reste pas inutile de relever que ces explications précèdent celles prétendument données au Dr D______, de sorte qu’elles doivent prévaloir sur ces dernières, selon le principe de la déclaration de la première heure invoqué par l’intimée elle-même. La compagne du recourant a du reste confirmé que le carton lui avait glissé des mains. Il s’agit certes du témoignage d’une personne très proche, ce qui justifie</w:t>
      </w:r>
    </w:p>
    <w:p>
      <w:r>
        <w:t>A/2313/2017 - 19/24 - qu’on l’apprécie avec une certaine prudence. Au vu de son contenu, on peut cependant exclure une déclaration de complaisance, puisque ce témoin a par ailleurs admis ne pas avoir entendu le craquement mentionné par le recourant. Si elle s’était entendue avec son compagnon quant à la version à donner à la Cour afin d’accréditer sa thèse, elle aurait selon toute vraisemblance témoigné différemment. La Cour de céans ne s’écartera ainsi pas des explications du recourant quant au déroulement de l’accident, selon laquelle le carton lui a glissé des mains et il a effectué un mouvement brusque pour éviter qu’il ne tombe. Or, ce mouvement, pour rattraper in extremis un carton d’une trentaine de kilos, constitue bien un facteur extérieur au sens de la jurisprudence citée. La Cour retiendra donc l’existence d’un facteur extérieur permettant d’assimiler une lésion tendineuse à un accident.</w:t>
      </w:r>
    </w:p>
    <w:p>
      <w:r>
        <w:rPr>
          <w:b/>
        </w:rPr>
        <w:t>E. 10</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A/2313/2017 - 20/24 -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4.4 ; arrêt du Tribunal fédéral 8C_585/2013 du 15 septembre 2014 consid. 4).</w:t>
      </w:r>
    </w:p>
    <w:p>
      <w:r>
        <w:rPr>
          <w:b/>
        </w:rPr>
        <w:t>E. 11</w:t>
      </w:r>
    </w:p>
    <w:p>
      <w:r>
        <w:t>S’agissant des diagnostics de l’épaule droite qui correspondent à une lésion figurant à l’art. 6 al. 2 aLAA : a. Ces atteintes sont-elles d’origine exclusivement dégénérative ? Veuillez motiver. b. L’événement du 9 avril 2016 a-t-il joué un rôle, même partiel, dans la survenance de ces atteintes ? En d’autres termes, l’accident est-il une cause possible, au moins à titre partiel, de ces atteintes ?</w:t>
      </w:r>
    </w:p>
    <w:p>
      <w:r>
        <w:t>A/2313/2017 - 23/24 - c. En particulier, les atteintes ayant nécessité l’intervention du 9 mai 2016 étaient-elles dues à l’accident du 9 avril 2016 d’une façon possible (moins de 50 %), probable (plus de 50 %) ou certaine (100 %) ? Si l’intervention était justifiée à la fois par des troubles accidentels et maladifs, préciser si l’indication pathologique ou traumatique était prépondérante. d. Le cas échéant, quels sont les facteurs étrangers à l’événement du 9 avril 2016 qui ont contribué à la survenance de ces atteintes ? e. L’événement du 9 avril 2016 a-t-il déclenché un processus qui serait de toute façon survenu sans cet événement ? f. À partir de quand les facteurs étrangers sont-ils manifestement devenus, ou deviennent-ils manifestement les seules causes influant sur l’état de santé du recourant (« statu quo sine » ou « statu quo ante » atteint) ?</w:t>
      </w:r>
    </w:p>
    <w:p>
      <w:r>
        <w:rPr>
          <w:b/>
        </w:rPr>
        <w:t>E. 12</w:t>
      </w:r>
    </w:p>
    <w:p>
      <w:r>
        <w:t>Toute remarque utile et proposition de l’expert.</w:t>
      </w:r>
    </w:p>
    <w:p>
      <w:r>
        <w:rPr>
          <w:b/>
        </w:rPr>
        <w:t>E. 13</w:t>
      </w:r>
    </w:p>
    <w:p>
      <w:r>
        <w:t>Commet à cette fin le docteur H______, spécialiste FMH en chirurgie orthopédique, à Versoix.</w:t>
      </w:r>
    </w:p>
    <w:p>
      <w:r>
        <w:rPr>
          <w:b/>
        </w:rPr>
        <w:t>E. 14</w:t>
      </w:r>
    </w:p>
    <w:p>
      <w:r>
        <w:t>Invite l’expert à déposer dans les meilleurs délais un rapport en trois exemplaires à la chambre de céans.</w:t>
      </w:r>
    </w:p>
    <w:p>
      <w:r>
        <w:rPr>
          <w:b/>
        </w:rPr>
        <w:t>E. 15</w:t>
      </w:r>
    </w:p>
    <w:p>
      <w:r>
        <w:t>Réserve le sort des frais et le fond.</w:t>
      </w:r>
    </w:p>
    <w:p>
      <w:r>
        <w:t>La greffière</w:t>
      </w:r>
    </w:p>
    <w:p>
      <w:r>
        <w:t>Marie-Catherine SÉCHAUD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