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ATAS/182/2018 vom 15. Februar 2018</w:t>
      </w:r>
    </w:p>
    <w:p>
      <w:r>
        <w:t>GE Cour de justice, 2018-02-15, FR</w:t>
      </w:r>
    </w:p>
    <w:p>
      <w:r>
        <w:rPr>
          <w:b/>
        </w:rPr>
        <w:t xml:space="preserve">Quelle: </w:t>
      </w:r>
      <w:r>
        <w:t>https://mcp.opencaselaw.ch/entscheid/ge_gerichte_ATAS_182_2018</w:t>
      </w:r>
    </w:p>
    <w:p>
      <w:r>
        <w:t>FR: GE_GERICHTE ATAS/182/2018 du 15 février 2018</w:t>
      </w:r>
    </w:p>
    <w:p>
      <w:r>
        <w:t>IT: GE_GERICHTE ATAS/182/2018 del 15 febbraio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w:t>
      </w:r>
    </w:p>
    <w:p>
      <w:r>
        <w:t>A/1252/2017 - 5/10 - sur les contestations prévues à l'art. 38A de la loi cantonale sur les allocations familiales du 1er mars 1996 (LAF - J 5 10). Par ailleurs, selon l’art. 58 al. 1 LPGA, le tribunal des assurances compétent est celui du canton de domicile de l’assuré ou d’une autre partie au moment du dépôt du recours. En l’espèce, Mme A______ était domiciliée dans le canton de Genève lorsqu’elle a déposé son recours, le 4 avril 2017. Partant, la Chambre de céans est compétente ratione loci et materiae pour juger du cas d’espèce.</w:t>
      </w:r>
    </w:p>
    <w:p>
      <w:r>
        <w:rPr>
          <w:b/>
        </w:rPr>
        <w:t>E. 2</w:t>
      </w:r>
    </w:p>
    <w:p>
      <w:r>
        <w:t>À teneur de l'art. 1 LAFam, les dispositions de la LPGA s’appliquent aux allocations familiales, à moins que la loi n'y déroge expressément. L'art. 2B de la loi cantonale genevoise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Interjeté dans la forme et le délai prescrits par la loi, le recours est recevable (art. 56 ss LPGA ; 38A LAF).</w:t>
      </w:r>
    </w:p>
    <w:p>
      <w:r>
        <w:rPr>
          <w:b/>
        </w:rPr>
        <w:t>E. 4</w:t>
      </w:r>
    </w:p>
    <w:p>
      <w:r>
        <w:t>Le litige porte sur le droit de l’intéressée à une allocation de formation professionnelle pour sa fille, B______, du 23 août 2016 au 23 mars 2017, date de la décision litigieuse.</w:t>
      </w:r>
    </w:p>
    <w:p>
      <w:r>
        <w:rPr>
          <w:b/>
        </w:rPr>
        <w:t>E. 5</w:t>
      </w:r>
    </w:p>
    <w:p>
      <w:r>
        <w:t>Aux termes de l'art. 4 al. 1 LAFam, donnent notamment droit à des allocations familiales les enfants avec lesquels l'ayant droit a un lien de filiation en vertu du code civil (let. a). Par ailleurs, au niveau cantonal, l'art. 2 LAF assujettit à la loi sur les allocations familiales, notamment, les personnes de condition indépendante dont l’entreprise a un siège dans le canton de Genève ou, à défaut d’un tel siège, qui sont domiciliées dans le canton (let. d). En l’espèce, il n’est pas contesté qu’à l’époque de la décision litigieuse, la recourante revêtait la qualité d’indépendante assujettie à la loi genevoise sur les allocations familiales.</w:t>
      </w:r>
    </w:p>
    <w:p>
      <w:r>
        <w:rPr>
          <w:b/>
        </w:rPr>
        <w:t>E. 6</w:t>
      </w:r>
    </w:p>
    <w:p>
      <w:r>
        <w:t>Les allocations familiales sont des prestations en espèces, uniques ou périodiques, destinées à compenser partiellement la charge financière représentée par un ou plusieurs enfants (art. 2 LAFam et 4 al. 1 LAF). L’allocation familiale comprend notamment l’allocation de formation professionnelle, octroyée à partir du mois qui suit celui au cours duquel l’enfant atteint l’âge de 16 ans jusqu’à la fin de sa formation, mais au plus tard jusqu’à la fin du mois au cours duquel il atteint l’âge de 25 ans (cf. art. 3 al. 1 let. b LAFam et 7 LAF). Elle s’élève à CHF 250.- par mois</w:t>
      </w:r>
    </w:p>
    <w:p>
      <w:r>
        <w:t>A/1252/2017 - 6/10 - au minimum, les cantons pouvant prévoir des taux minimaux plus élevés (cf. art. 5 et 3 al. 2 LAFam). À Genève, le montant de l’allocation de formation professionnelle s’élève à CHF 400.- par mois (cf. art. 8 al. 3 LAF, en sa teneur en vigueur dès le 1er janvier 2012). En l’espèce, B______ n’avait pas encore atteint l’âge de 25 ans lorsqu’elle a débuté ses stages de menuiserie et de secrétariat, respectivement en août 2016 et janvier 2017. Afin de déterminer si la recourante peut prétendre au versement de l’allocation de formation professionnelle, il reste toutefois à examiner si ces stages peuvent être assimilés à une formation.</w:t>
      </w:r>
    </w:p>
    <w:p>
      <w:r>
        <w:rPr>
          <w:b/>
        </w:rPr>
        <w:t>E. 7</w:t>
      </w:r>
    </w:p>
    <w:p>
      <w:r>
        <w:t>L’art. 1 al. 1 de l’ordonnance du 31 octobre 2007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Selon cette disposition, pour les enfants qui accomplissent une formation, le droit à la rente (d'orphelin) s'étend jusqu'au terme de cette formation, mais au plus jusqu'à l'âge de 25 ans révolus ; le Conseil fédéral peut définir ce que l'on entend par formation. Se fondant sur cette délégation de compétence, le Conseil fédéral a adopté les articles 49bis et 49ter du règlement sur l'assurance-vieillesse et survivants du 31 octobre 1947 (RAVS; RS 831.101), entrés en vigueur le 1er janvier 2011 (RO 2010 4573), et applicables en l’espèce.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w:t>
      </w:r>
    </w:p>
    <w:p>
      <w:r>
        <w:rPr>
          <w:b/>
        </w:rPr>
        <w:t>E. 8</w:t>
      </w:r>
    </w:p>
    <w:p>
      <w:r>
        <w:t>a. Selon l’art. 49ter RAVS, la formation se termine avec un diplôme de fin d'étude ou un diplôme professionnel (al. 1). La formation est également considérée comme terminée lorsqu'elle est abandonnée ou interrompue (al. 2). Ne sont pas assimilés à une interruption au sens de l'al. 2, pour autant que la formation se poursuive immédiatement après les périodes usuelles libres de cours et les vacances d'une durée maximale de quatre mois (al. 3 let. a).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en vaquant parallèlement à des occupations, lucratives ou non, sans caractère de formation (donc pas un stage en vue d’un objectif de</w:t>
      </w:r>
    </w:p>
    <w:p>
      <w:r>
        <w:t>A/1252/2017 - 7/10 -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Selon les Directives sur les rentes (DR), dans leur teneur en vigueur au 1er janvier 2017, la formation doit durer 4 semaines au moins et tendre systématiquement à l’acquisition de connaissances. Elle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(DR n° 3359). b. Un stage pratique est assimilé à une formation si son accomplissement est une condition indispensable pour poursuivre une formation donnée ou passer un examen, ou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 stage chez un producteur de cinéma selon l’arrêt du Tribunal fédéral 9C_223/2008 du 1er avril 2008 ; DR n° 3362). Si les conditions du ch. 3361 ne sont pas remplies, un stage pratique est néanmoins assimilé à une formation si le stage est de fait requis pour la formation et qu’au début de celui-ci, l’intéressé a effectivement l’intention d’accomplir la formation envisagée (ATF 139 V 209), et si le stage dure au maximum une année dans l’entreprise concernée (ATF 140 V 299).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w:t>
      </w:r>
    </w:p>
    <w:p>
      <w:r>
        <w:t>A/1252/2017 - 8/10 - c. Il y a enfin lieu de rappeler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2ème édition, Berne 1994, p. 264 ss).</w:t>
      </w:r>
    </w:p>
    <w:p>
      <w:r>
        <w:rPr>
          <w:b/>
        </w:rPr>
        <w:t>E. 9</w:t>
      </w:r>
    </w:p>
    <w:p>
      <w:r>
        <w:t>Selon l’ordonnance du SEFRI sur la formation professionnelle initiale d’aide- menuisier avec attestation fédérale de formation professionnelle (AFP), la formation professionnelle initiale dure deux ans. Sont admises à la formation professionnelle initiale les personnes qui ont 15 ans révolus et ont terminé leur scolarité obligatoire.</w:t>
      </w:r>
    </w:p>
    <w:p>
      <w:r>
        <w:rPr>
          <w:b/>
        </w:rPr>
        <w:t>E. 10</w:t>
      </w:r>
    </w:p>
    <w:p>
      <w:r>
        <w:t>En l’espèce, l’allocation de formation professionnelle a été versée à la recourante pour sa fille B______ du 1er novembre 2015 au 22 août 2016, période durant laquelle cette dernière a accompli un semestre de motivation auprès de l’association PRO-JET. En revanche, l’intimé a nié le droit à l’allocation du 23 août au 23 septembre 2016 - période durant laquelle B______ a accompli, par l’entremise de la fondation D______, un stage de menuiserie en entreprise - au motif que ce stage ne constituait pas une condition indispensable pour accéder à une formation. L’intimé a également refusé de verser l’allocation de formation pour la période courant dès janvier 2017, à compter de laquelle B______ a travaillé au sein d’un secrétariat, arguant que les renseignements fournis par la fondation ne permettaient pas de rendre vraisemblable que B______ avait envisagé d’accomplir un apprentissage précis à l’issue de cette activité. De son côté, la recourante expose que B______ a accompli son stage de menuiserie dans le but de suivre une AFP ou un CFC. Elle a ensuite été mise en arrêt de travail du 1er novembre au 25 décembre 2016, avant de changer d’orientation professionnelle dès le 9 janvier 2017. Elle a alors été intégrée dans un secrétariat afin de se former à des activités administratives, avec la perspective d’entamer ultérieurement un apprentissage d’employée de bureau. La recourante souligne que, dans la mesure où sa fille ne percevait qu’une rémunération modeste, elle est restée à charge de son mari et d’elle-même.</w:t>
      </w:r>
    </w:p>
    <w:p>
      <w:r>
        <w:rPr>
          <w:b/>
        </w:rPr>
        <w:t>E. 11</w:t>
      </w:r>
    </w:p>
    <w:p>
      <w:r>
        <w:t>La Cour de céans constate que le stage de menuiserie qu’a réalisé B______ du 23 août au 30 septembre 2016 ne constitue pas un prérequis indispensable pour poursuivre une formation donnée, obtenir un diplôme ou un certificat de fin d’apprentissage. La recourante ne l’allègue en tout cas pas et rien ne permet de le considérer, étant précisé que l’admission à la formation professionnelle initiale d’aide-menuisier AFP n’est subordonnée qu’à une condition d’âge et à l’achèvement de la scolarité obligatoire. Il en va de même du stage en secrétariat qu’a entrepris B______ à compter du 9 janvier 2017. Là encore, la recourante ne prétend pas qu’il s’agirait d’un prérequis</w:t>
      </w:r>
    </w:p>
    <w:p>
      <w:r>
        <w:t>A/1252/2017 - 9/10 - indispensable pour l’admission de B______ à une formation professionnelle initiale d’assistante de bureau AFP. Au demeurant, il ne ressort pas des attestations versées au dossier que ce stage aurait été lié à un programme de formation structuré. Enfin, il faut souligner que selon les renseignements transmis par la fondation D______, B______ a quitté l’établissement le 30 juin 2017, sans entamer d’apprentissage, ce qui tend à démontrer que la fille de la recourante n’a pas (ou plus) l’intention d’accomplir une formation d’assistante de bureau, respectivement d’aide-menuisier. En définitive, si les stages effectués par B______ paraissent susceptibles de faciliter l’obtention d’une place d’apprentissage dans la menuiserie ou le secrétariat, ils ne constituent de toute évidence pas une condition d’accès à une formation. Par ailleurs, une éventuelle intention d’accomplir une formation déterminée à l’issue des stages en question ne peut pas être inférée des pièces versées au dossier. Faute de satisfaire aux conditions prescrites par les ch. 3361 ss DR, ces stages ne peuvent pas être assimilés à une formation.</w:t>
      </w:r>
    </w:p>
    <w:p>
      <w:r>
        <w:rPr>
          <w:b/>
        </w:rPr>
        <w:t>E. 12</w:t>
      </w:r>
    </w:p>
    <w:p>
      <w:r>
        <w:t>On peut certes se demander si les stages accomplis par l’entremise de la fondation D______ pourraient être considérés comme des préapprentissages, assimilables à une formation professionnelle aux conditions fixées par le ch. 3363 DR. Toutefois, comme cela ressort des considérants qui précèdent (cf. supra consid. 8), les enfants qui accomplissent - en guise de solution transitoire - un semestre de motivation ou un préapprentissage ne sont considérés comme étant en formation professionnelle que s’ils ont suivi durant cette phase transitoire des cours à raison de huit leçons au moins par semaine. Or, cette condition n’est précisément pas réalisée en l’espèce, dès lors que dans son courrier transmis à la Cour de céans le 21 décembre 2017, la fondation D______ a indiqué que B______ n’avait suivi aucun cours théorique en parallèle de ses stages de menuiserie et de secrétariat. Faute d’avoir suivi des cours à raison de huit leçons au moins par semaine, B______ ne remplit pas les conditions fixées par le ch. 3363 DR. Partant, les stages de menuiserie et de secrétariat qu’elle a suivis ne peuvent pas être considérés comme des préapprentissages, qui ouvriraient le droit au versement de l’allocation de formation professionnelle.</w:t>
      </w:r>
    </w:p>
    <w:p>
      <w:r>
        <w:rPr>
          <w:b/>
        </w:rPr>
        <w:t>E. 13</w:t>
      </w:r>
    </w:p>
    <w:p>
      <w:r>
        <w:t>Au vu de ce qui précède, force est d’admettre qu’en dépit des efforts qu’a entrepris B______ dans la perspective de s’orienter vers le choix d’un apprentissage, l’intimé était fondé à nier à la recourante le droit à une allocation de formation professionnelle dès le 23 août 2016. Mal fondé, le recours est rejeté. La procédure est gratuite (art. 89H al. 1 de la loi sur la procédure administrative du 12 septembre 1985 ; LPA-GE - E 5 10).</w:t>
      </w:r>
    </w:p>
    <w:p>
      <w:r>
        <w:t>A/1252/2017 - 10/10 -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