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ATAS/182/2014 vom 12. Februar 2014</w:t>
      </w:r>
    </w:p>
    <w:p>
      <w:r>
        <w:t>GE Cour de justice, 2014-02-12, FR</w:t>
      </w:r>
    </w:p>
    <w:p>
      <w:r>
        <w:rPr>
          <w:b/>
        </w:rPr>
        <w:t xml:space="preserve">Quelle: </w:t>
      </w:r>
      <w:r>
        <w:t>https://mcp.opencaselaw.ch/entscheid/ge_gerichte_ATAS_182_2014</w:t>
      </w:r>
    </w:p>
    <w:p>
      <w:r>
        <w:t>FR: GE_GERICHTE ATAS/182/2014 du 12 février 2014</w:t>
      </w:r>
    </w:p>
    <w:p>
      <w:r>
        <w:t>IT: GE_GERICHTE ATAS/182/2014 del 12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A/3412/2013 - 6/16 -</w:t>
      </w:r>
    </w:p>
    <w:p>
      <w:r>
        <w:rPr>
          <w:b/>
        </w:rPr>
        <w:t>E. 2</w:t>
      </w:r>
    </w:p>
    <w:p>
      <w:r>
        <w:t>Interjeté dans les formes et délai prévus par la loi, le présent recours est recevable (art. 56 à 61 LPGA).</w:t>
      </w:r>
    </w:p>
    <w:p>
      <w:r>
        <w:rPr>
          <w:b/>
        </w:rPr>
        <w:t>E. 3</w:t>
      </w:r>
    </w:p>
    <w:p>
      <w:r>
        <w:t>Le litige porte en substance sur le droit de la recourante à une rente d’invalidité.</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w:t>
      </w:r>
    </w:p>
    <w:p>
      <w:r>
        <w:t>A/3412/2013 - 7/16 -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w:t>
      </w:r>
    </w:p>
    <w:p>
      <w:r>
        <w:t>A/3412/2013 - 8/16 -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5</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A/3412/2013 - 9/16 -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a. En l’espèce, pour refuser à la recourante tout droit à des prestations, l’OAI s’est essentiellement basé sur le rapport d’expertise du Dr Q________. Ce rapport est fondé sur une anamnèse personnelle, médicale, sociale et familiale de la recourante, sur son dossier médical et radiologique, sur des examens complets, et notamment sur une échographie complémentaire de l’épaule droite, effectuée en date du 16 juillet 2013, ainsi que sur les plaintes de la recourante. L’expert a clairement exposé les diagnostics, ses constatations et ses conclusions sont motivées. Ses diagnostics étaient les suivants : des douleurs musculo-squelettiques diffuses avec signe en faveur d’une fibromyalgie, des douleurs du membre supérieur droit avec des signes en faveur d’une tendinopathie de la coiffe des rotateurs prédominant sur le supra-épineux, des gonalgies bilatérales prédominant très nettement à droite avec un discret épanchement intra-articulaire et une minime gonarthrose et un probable syndrome du canal carpien, étant précisé que seule l’atteinte à l’épaule droite et les gonalgies droites avaient une répercussion sur la capacité de travail. Il a expliqué les raisons qui lui permettaient de retenir chacun des diagnostics ainsi que les limitations fonctionnelles, lesquelles étaient toutes en lien avec les atteintes de la recourante à l’épaule et au genou droits. Enfin, certes on peut se poser la question de savoir si compte tenu de ses atteintes au genou et à l’épaule, la recourante serait réellement susceptible d’exercer l’activité d’aide-soignante ou de lingère à 50%, toutefois, on comprend qu’au vu de ces atteintes et des différentes propositions thérapeutiques, la capacité de travail est de 80% dans une activité adaptée, telle qu’une activité administrative, de réceptionniste, de surveillante sur un écran vidéo</w:t>
      </w:r>
    </w:p>
    <w:p>
      <w:r>
        <w:t>A/3412/2013 - 10/16 - ou dans un musée par exemple. Eu égard aux rapports médicaux au dossier, l’expert a déterminé que cette limitation de la capacité de travail était intervenue dès le 2ème trimestre de 2011, sans plus de précision. A cet égard, dans la mesure où la recourante a subi une infiltration en date du 14 avril 2011 (2ème trimestre 2011) lors d’un séjour aux HUG, c’est cette date-là qui sera retenue pour fixer le début de l’incapacité de travail de la recourante. Partant, dans la mesure où l’expert aboutit à des résultats convaincants, son rapport doit se voir reconnaitre valeur probante au sens de la jurisprudence. La Cour de céans constate que les conclusions du rapport d’expertise sont confirmées par les rapports du Dr P________, qui a estimé que la capacité de travail était entière dans un travail en usine en position assise et retenu que la marche prolongée et le port de charges devaient être évités. Quant au Dr L__________, lequel est le médecin traitant de la recourante, il ne se prononce pas précisément sur la capacité de travail de la recourante ni ne met en exergue d’éléments dont l’expert n’a pas tenu compte, de sorte que ses constatations ne permettent pas de remettre en cause les conclusions de l’expertise. b) En outre, l’expert a posé le diagnostic de douleurs musculo-squelettiques diffuses avec signe en faveur d’une fibromyalgie, indiquant que 13 points sur 18 étaient très douloureux, de sorte que la question du caractère invalidant de cette affection peut se poser. Il convient toutefois de constater que l’expert a déterminé que la fibromyalgie n’avait pas de conséquence sur la capacité de travail, qu’il y avait une importante discordance entre les plaintes de la recourante et les éléments objectifs et qu’il n’a pas retenu l’existence d’une éventuelle atteinte psychiatrique. Qui plus est, la recourante n’a aucun suivi psychiatrique et n’a pas allégué dans son recours souffrir d’une atteinte de cet ordre. Pour le surplus, il sera remarqué que si on peut retenir que les critères (retenus par la jurisprudence) du processus maladif s’étendant sur plusieurs années sans rémission durable et des affections corporelles chroniques sont réalisées, les autres critères ne le sont pas – pas de perte d’intégration sociale dans toutes les manifestations de la vie, d’état psychique cristallisé ou d’échec des traitements conformes aux règles de l’art. Dans ces conditions et eu égard au caractère non invalidant de la fibromyalgie retenu par l’expert rhumatologue, nul n’est besoin de mettre en œuvre une expertise psychiatrique. c) Par conséquent, au vu de ce qui précède, la Cour de céans considère, au degré de la vraisemblance prépondérante prévue par la jurisprudence, que la capacité de travail de la recourante est de 80% dans une activité adaptée dès le 14 avril 2011.</w:t>
      </w:r>
    </w:p>
    <w:p>
      <w:r>
        <w:rPr>
          <w:b/>
        </w:rPr>
        <w:t>E. 7</w:t>
      </w:r>
    </w:p>
    <w:p>
      <w:r>
        <w:t>La recourante conteste qu’une reprise d’activité soit possible, compte tenu de son âge avancé, de ses capacités de compréhension et d’adaptation limitées et de ses limitations fonctionnelles. Lorsqu'il s'agit d'évaluer l'invalidité d'un assuré qui se trouve proche de l'âge donnant droit à la rente de vieillesse, il faut procéder à une analyse globale de la</w:t>
      </w:r>
    </w:p>
    <w:p>
      <w:r>
        <w:t>A/3412/2013 - 11/16 -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et dans celui d’une assurée, âgée de 61 ans et un mois au moment de la décision litigieuse, capable de travailler à 50% dans une activité adaptée, ayant travaillé comme femme de ménage et comme concierge, n’ayant pas de formation professionnelle ou tout autre expérience qu’elle aurait pu mettre en valeur et ayant des limitations fonctionnelles – activité sédentaire, privilégiant la position assise et les déplacements plutôt à plat, sans inclinaison vers l’avant ni port de charges supérieures à 5 kilos (ATF non publié 9C_437/2008 du 19 mars 2009 consid. 4.3).</w:t>
      </w:r>
    </w:p>
    <w:p>
      <w:r>
        <w:rPr>
          <w:b/>
        </w:rPr>
        <w:t>E. 8</w:t>
      </w:r>
    </w:p>
    <w:p>
      <w:r>
        <w:t>En l’occurrence, la recourante est née le 8 janvier 1952 et était ainsi âgée de plus de 61 ans lorsque l'expertise a été rendue (juillet 2013), de sorte qu’elle n’avait plus que 2 ans environ avant d’atteindre l’âge ordinaire de la retraite. L’âge avancé de la recourante au moment déterminant doit donc être pris en considération pour déterminer si celle-ci peut raisonnablement mettre à profit sa capacité résiduelle de</w:t>
      </w:r>
    </w:p>
    <w:p>
      <w:r>
        <w:t>A/3412/2013 - 12/16 - travail sur un marché de l'emploi équilibré. Par ailleurs, elle a essentiellement travaillé en qualité de lingère et d’aide-soignante, en dernier lieu auprès de X_________ et d’un EMS, et il n’apparaît pas qu’elle a acquis, durant sa vie, de formation professionnelle ou une autre expérience qu’elle pourrait faire valoir sur le marché du travail. En outre, il convient de rappeler que les limitations fonctionnelles de la recourante sont les suivantes : les activités avec le bras droit en hauteur de façon prolongée et répétée, le soulèvement et le port de charges lourdes avec le membre supérieur droit, la position debout plus de 3 à 4 heures de suite, le fait de marcher longtemps et dans les escaliers, de s’agenouiller et de se mettre en position accroupie. L’expert et le Dr P________ ont envisagé que la recourante pût exercer un travail en usine, un travail administratif, de réception ou de surveillance. Toutefois, comme il résulte des documents médicaux que sa compréhension du français est limitée, qu’elle ne le parle pas bien et qu’elle est illettrée – critères qu’il convient également de prendre en considération – les activités administratives ne semblent pas concrètement réalisables pour la recourante. Qui plus est, force est de relever que les limitations fonctionnelles mises en exergue par les médecins impliqueraient une reconversion professionnelle et présupposent des facultés d’adaptation qui semblent insurmontables d’un point de vue subjectif, étant rappelé que le Dr L__________ avait estimé que la capacité d’adaptation était limitée par son illettrisme. Quoi qu’il en soit, eu égard à ces éléments, et notamment à l’âge de la recourante, à son illettrisme, à ses limitations fonctionnelles, il est difficile d’imaginer qu’un employeur prenne du temps pour la former et lui permette de se réinsérer sur le marché du travail, alors même que son contrat de travail serait d’emblée limité à un peu plus de deux ans. Ce qui précède vaut également en ce qui concerne une éventuelle reprise de l’activité habituelle à 50% par la recourante, eu égard notamment à ses limitations fonctionnelles et à son âge avancé. Par conséquent, au vu de la situation personnelle et professionnelle de la recourante, la Cour de céans estime qu’elle n’est plus en mesure de retrouver une activité lucrative adaptée à son handicap sur un marché équilibré de travail. Dès lors, la recourante ne pouvant plus exploiter sa capacité résiduelle de travail sur le plan économique, il en résulte une invalidité totale sur le plan professionnel, ce qui ouvre le droit à une rente d'invalidité entière.</w:t>
      </w:r>
    </w:p>
    <w:p>
      <w:r>
        <w:rPr>
          <w:b/>
        </w:rPr>
        <w:t>E. 9</w:t>
      </w:r>
    </w:p>
    <w:p>
      <w:r>
        <w:t>Il sied ainsi de fixer le début de son droit à une rente entière. 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w:t>
      </w:r>
    </w:p>
    <w:p>
      <w:r>
        <w:t>A/3412/2013 - 13/16 - b) En l’espèce, le début de l’incapacité de travail déterminante remonte au mois d’avril 2011 et la demande de prestations a été déposée le 24 novembre 2011, de sorte que la recourante a droit à une rente entière d’invalidité dès le 1er mai 2012.</w:t>
      </w:r>
    </w:p>
    <w:p>
      <w:r>
        <w:rPr>
          <w:b/>
        </w:rPr>
        <w:t>E. 10</w:t>
      </w:r>
    </w:p>
    <w:p>
      <w:r>
        <w:t>Enfin, la recourante sollicite la constatation de la violation du principe de célérité par l’intimé et la condamnation de celui-ci à verser des frais et dépens quelle que soit l’issue du litige. a) L'art. 29 al. 1 Cst. dispose que toute personne a droit, dans une procédure judiciaire ou administrative, à ce que sa cause soit traitée équitablement et jugée dans un délai raisonnable. Cette disposition consacre le principe de la célérité, et prohibe le retard injustifié à statuer (SVR 2007 IV n. 44, p. 144, I 946/05 consid. 5.1). Les raisons du retard ne sont pas déterminantes – s’il s’agit d’un comportement fautif de l’autorité ou d’autres circonstances ; ce qui est exclusivement déterminant c’est que l’autorité n’agit pas (SVR 2001 IV n. 24 p. 73, I 436/00 consid. 3b ; ATF non publié 8C_634/2012 du 18 février 2013, consid. 3.1). b)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135 I 265 consid. 4.4 ; ATF 124 I 139 consid. 2c p. 142, ATF 119 Ib 311 consid. 5b et les références). A cet égard, il appartient au justiciable d'entreprendre ce qui est en son pouvoir pour que l'autorité fasse diligence, que ce soit en l'invitant à accélérer la procédure ou en recourant, le cas échéant, pour retard injustifié (ATF 107 Ib 155 consid. 2b et c p. 158). On ne saurait par ailleurs reprocher à une autorité quelques temps morts; ceux-ci sont inévitables dans une procédure (ATF 124 et 119 cités ci-dessus). Une organisation déficiente ou une surcharge structurelle ne peuvent cependant justifier la lenteur excessive d'une procédure (ATF 122 IV 103 consid. I/4 p. 111; 107 Ib 160 consid. 3c p. 165); il appartient en effet à l'Etat d'organiser ses juridictions de manière à garantir aux citoyens une administration de la justice conforme aux règles (ATF 119 III 1 consid. 3 p. 3; Auer/Malinverni/Hottelier, Droit constitutionnel suisse, volume II, n° 1290).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p. 333, 129 V 411 consid. 1.3 et les références p. 417).</w:t>
      </w:r>
    </w:p>
    <w:p>
      <w:r>
        <w:t>A/3412/2013 - 14/16 - Dans l’arrêt du Tribunal fédéral I 946/05 du 11 mai 2007, sur lequel la recourante se fonde, la procédure administrative avait duré plus de neuf ans, alors que l’affaire ne présentait pas de complexité particulière au niveau des faits à instruire et que les mesures d’instruction avaient été peu nombreuses. En particulier, il avait été considéré qu’en mettant plus de trois ans et demi pour rendre une première décision, puis plus de quatre ans pour se prononcer définitivement sur le droit aux prestations à la suite de l’expertise du COMAI, l’OAI avait fait preuve d’une passivité coupable, de sorte qu’il avait violé le principe de la célérité de la procédure. Il résulte également de cet arrêt que le recourant avait également relancé l’administration à plusieurs reprises. En outre, bien que le recours ait été rejeté, le recourant s’était vu accorder une indemnité de dépens pour l’instance fédérale à la charge de l’OAI (consid. 5.4. et 6). Le Tribunal cantonal des assurances sociales a également considéré que le principe de célérité de la procédure avait été violé par l’OAI, la décision sur opposition ayant été rendue plus de 11 ans après le dépôt de la demande de prestations, et a, partant, alloué des dépens élevés à un assuré (ATAS/1185/2009 du 29 septembre 2009). En revanche, le Tribunal cantonal des assurances sociales a estimé que l’OAI n’avait pas outrepassé les limites posées en matière d’obligation de traiter un dossier avec célérité, en ayant pris plus quatre ans pour se prononcer sur la demande de prestations, et ce attendu notamment que l’instruction avait nécessité d’attendre la stabilisation de l’état de santé de la recourante suite à une opération, la mise en œuvre de deux expertises successives, l’une rhumatologique, l’autre psychiatrique et que l’appréciation du caractère invalidant des troubles psychiques, surtout lorsque l’on se trouve dans des cas limites à la frontière avec les troubles somatoformes douloureux ou affections fibromyalgiques constitue à n’en pas douter l’une des questions les plus complexes et délicates à trancher (ATAS/1494/2008 du 17 décembre 2008).</w:t>
      </w:r>
    </w:p>
    <w:p>
      <w:r>
        <w:rPr>
          <w:b/>
        </w:rPr>
        <w:t>E. 11</w:t>
      </w:r>
    </w:p>
    <w:p>
      <w:r>
        <w:t>En l’occurrence, il sera constaté que l’OAI a mis moins de deux ans pour rendre sa décision de refus de prestations suite à la demande de prestations de la recourante déposée en date du 24 novembre 2011. Contrairement aux allégations de la recourante, l’intimé a rapidement débuté l’instruction de son dossier suite à sa demande de prestations. En effet, dès le début de l’année 2012, il a notamment sollicité des médecins ayant suivi la recourante des informations sur son état de santé et de son dernier employeur des données concernant sa dernière activité et son revenu, suite à quoi, il a presque immédiatement mis en œuvre une expertise rhumatologique. Certes l’expert a pris quelques mois – de fin janvier à juillet 2013 – pour examiner la recourante et établir son rapport, toutefois, la demande d’une expertise médicale prend, d’après l’expérience, un certain temps, et il est usuel qu’il se passe quelques mois entre la demande d’expertise et l’examen médical. Puis, l’intimé a procédé à une comparaison des revenus le 13 août 2013 et a immédiatement envoyé son projet de décision le 15 août 2013, puis sa décision en</w:t>
      </w:r>
    </w:p>
    <w:p>
      <w:r>
        <w:t>A/3412/2013 - 15/16 - date du 23 septembre 2013. Dès lors, il apparaît que l’intimé a procédé à l’instruction de manière diligente et n’a pas violé le principe de célérité. Quant à la recourante, il n’apparaît pas qu’elle ait sollicité une seule fois des informations de l’intimé durant la procédure administrative. Le grief de la recourante doit dès lors être rejeté.</w:t>
      </w:r>
    </w:p>
    <w:p>
      <w:r>
        <w:rPr>
          <w:b/>
        </w:rPr>
        <w:t>E. 12</w:t>
      </w:r>
    </w:p>
    <w:p>
      <w:r>
        <w:t>Le recours sera ainsi admis et la décision annulée, en ce sens que la recourante a droit à une rente entière d’invalidité dès le 1er mai 2012.</w:t>
      </w:r>
    </w:p>
    <w:p>
      <w:r>
        <w:rPr>
          <w:b/>
        </w:rPr>
        <w:t>E. 13</w:t>
      </w:r>
    </w:p>
    <w:p>
      <w:r>
        <w:t>La recourante, représentée par un conseil et obtenant gain de cause, a droit à une indemnité à titre de participation à ses frais et dépens, que la Cour de céans fixe en l’espèce à 2'000 fr. (art. 61 let. g LPGA et 89H al. 1 LPA). Un émolument de 200 fr. sera mis à la charge de l’intimé (art. 69 al. 1bis LAI).</w:t>
      </w:r>
    </w:p>
    <w:p>
      <w:r>
        <w:t>A/3412/2013 - 16/16 -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